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2411A" w14:textId="2345F0A5" w:rsidR="002330E8" w:rsidRPr="005E6D39" w:rsidRDefault="00384851" w:rsidP="00FD6D93">
      <w:pPr>
        <w:pStyle w:val="Title"/>
        <w:spacing w:after="120"/>
        <w:jc w:val="right"/>
        <w:rPr>
          <w:rFonts w:cs="Arial"/>
          <w:b/>
          <w:sz w:val="40"/>
          <w:szCs w:val="40"/>
        </w:rPr>
      </w:pPr>
      <w:bookmarkStart w:id="0" w:name="_GoBack"/>
      <w:r>
        <w:rPr>
          <w:rFonts w:cs="Arial"/>
          <w:b/>
          <w:noProof/>
          <w:sz w:val="40"/>
          <w:szCs w:val="40"/>
        </w:rPr>
        <w:drawing>
          <wp:anchor distT="0" distB="0" distL="114300" distR="114300" simplePos="0" relativeHeight="251658240" behindDoc="0" locked="0" layoutInCell="1" allowOverlap="1" wp14:anchorId="4D2DA2D0" wp14:editId="2588B925">
            <wp:simplePos x="0" y="0"/>
            <wp:positionH relativeFrom="column">
              <wp:posOffset>5574030</wp:posOffset>
            </wp:positionH>
            <wp:positionV relativeFrom="paragraph">
              <wp:posOffset>-742950</wp:posOffset>
            </wp:positionV>
            <wp:extent cx="374094" cy="329647"/>
            <wp:effectExtent l="0" t="0" r="0" b="635"/>
            <wp:wrapNone/>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B.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74094" cy="329647"/>
                    </a:xfrm>
                    <a:prstGeom prst="rect">
                      <a:avLst/>
                    </a:prstGeom>
                  </pic:spPr>
                </pic:pic>
              </a:graphicData>
            </a:graphic>
            <wp14:sizeRelH relativeFrom="page">
              <wp14:pctWidth>0</wp14:pctWidth>
            </wp14:sizeRelH>
            <wp14:sizeRelV relativeFrom="page">
              <wp14:pctHeight>0</wp14:pctHeight>
            </wp14:sizeRelV>
          </wp:anchor>
        </w:drawing>
      </w:r>
      <w:bookmarkEnd w:id="0"/>
      <w:r w:rsidR="00FD6D93" w:rsidRPr="005E6D39">
        <w:rPr>
          <w:rFonts w:cs="Arial"/>
          <w:b/>
          <w:sz w:val="40"/>
          <w:szCs w:val="40"/>
        </w:rPr>
        <w:t xml:space="preserve">Tool Box – </w:t>
      </w:r>
      <w:r w:rsidR="0094160D">
        <w:rPr>
          <w:rFonts w:cs="Arial"/>
          <w:b/>
          <w:sz w:val="40"/>
          <w:szCs w:val="40"/>
        </w:rPr>
        <w:t>Substance</w:t>
      </w:r>
      <w:r w:rsidR="00FD6D93" w:rsidRPr="005E6D39">
        <w:rPr>
          <w:rFonts w:cs="Arial"/>
          <w:b/>
          <w:sz w:val="40"/>
          <w:szCs w:val="40"/>
        </w:rPr>
        <w:t xml:space="preserve"> Use Disorder</w:t>
      </w:r>
    </w:p>
    <w:p w14:paraId="54E87A1B" w14:textId="07C74197" w:rsidR="00FD6D93" w:rsidRPr="005E6D39" w:rsidRDefault="00FD6D93" w:rsidP="00FD6D93">
      <w:pPr>
        <w:rPr>
          <w:rFonts w:cs="Arial"/>
        </w:rPr>
      </w:pPr>
      <w:r w:rsidRPr="005E6D39">
        <w:rPr>
          <w:rFonts w:cs="Arial"/>
        </w:rPr>
        <w:t xml:space="preserve">The Section of General Practice has put together a list of common codes that can be used for the management and treatment of patients with </w:t>
      </w:r>
      <w:r w:rsidR="00396F1F">
        <w:rPr>
          <w:rFonts w:cs="Arial"/>
        </w:rPr>
        <w:t xml:space="preserve">substance use disorders including </w:t>
      </w:r>
      <w:r w:rsidRPr="005E6D39">
        <w:rPr>
          <w:rFonts w:cs="Arial"/>
        </w:rPr>
        <w:t>opioid use disorder.  There may be other codes that are relevant depending on the situation but this list will cover the majority of activities.</w:t>
      </w:r>
    </w:p>
    <w:tbl>
      <w:tblPr>
        <w:tblStyle w:val="TableGrid"/>
        <w:tblW w:w="10490" w:type="dxa"/>
        <w:tblInd w:w="-567" w:type="dxa"/>
        <w:tblLook w:val="04A0" w:firstRow="1" w:lastRow="0" w:firstColumn="1" w:lastColumn="0" w:noHBand="0" w:noVBand="1"/>
      </w:tblPr>
      <w:tblGrid>
        <w:gridCol w:w="2488"/>
        <w:gridCol w:w="6896"/>
        <w:gridCol w:w="1106"/>
      </w:tblGrid>
      <w:tr w:rsidR="00E42910" w:rsidRPr="005E6D39" w14:paraId="46242A5C" w14:textId="77777777" w:rsidTr="0083706C">
        <w:tc>
          <w:tcPr>
            <w:tcW w:w="2488" w:type="dxa"/>
            <w:tcBorders>
              <w:top w:val="nil"/>
              <w:left w:val="nil"/>
              <w:right w:val="nil"/>
            </w:tcBorders>
          </w:tcPr>
          <w:p w14:paraId="75A13ACB" w14:textId="022BE054" w:rsidR="00E42910" w:rsidRPr="005E6D39" w:rsidRDefault="00E42910" w:rsidP="00396F1F">
            <w:pPr>
              <w:rPr>
                <w:rFonts w:cs="Arial"/>
              </w:rPr>
            </w:pPr>
            <w:r w:rsidRPr="005E6D39">
              <w:rPr>
                <w:rFonts w:cs="Arial"/>
              </w:rPr>
              <w:t xml:space="preserve">HSC </w:t>
            </w:r>
          </w:p>
        </w:tc>
        <w:tc>
          <w:tcPr>
            <w:tcW w:w="6896" w:type="dxa"/>
            <w:tcBorders>
              <w:top w:val="nil"/>
              <w:left w:val="nil"/>
              <w:right w:val="nil"/>
            </w:tcBorders>
          </w:tcPr>
          <w:p w14:paraId="4559678B" w14:textId="66267DA1" w:rsidR="00E42910" w:rsidRPr="005E6D39" w:rsidRDefault="00396F1F" w:rsidP="00FD6D93">
            <w:pPr>
              <w:rPr>
                <w:rFonts w:cs="Arial"/>
              </w:rPr>
            </w:pPr>
            <w:r>
              <w:rPr>
                <w:rFonts w:cs="Arial"/>
              </w:rPr>
              <w:t>Description</w:t>
            </w:r>
          </w:p>
        </w:tc>
        <w:tc>
          <w:tcPr>
            <w:tcW w:w="1106" w:type="dxa"/>
            <w:tcBorders>
              <w:top w:val="nil"/>
              <w:left w:val="nil"/>
              <w:right w:val="nil"/>
            </w:tcBorders>
          </w:tcPr>
          <w:p w14:paraId="11E62B9F" w14:textId="1ACE332D" w:rsidR="00E42910" w:rsidRPr="005E6D39" w:rsidRDefault="00396F1F" w:rsidP="00FD6D93">
            <w:pPr>
              <w:rPr>
                <w:rFonts w:cs="Arial"/>
              </w:rPr>
            </w:pPr>
            <w:r>
              <w:rPr>
                <w:rFonts w:cs="Arial"/>
              </w:rPr>
              <w:t xml:space="preserve">GP </w:t>
            </w:r>
            <w:r w:rsidR="00E42910" w:rsidRPr="005E6D39">
              <w:rPr>
                <w:rFonts w:cs="Arial"/>
              </w:rPr>
              <w:t>Rate</w:t>
            </w:r>
          </w:p>
        </w:tc>
      </w:tr>
      <w:tr w:rsidR="003A7A2F" w:rsidRPr="005E6D39" w14:paraId="773F252A" w14:textId="77777777" w:rsidTr="0083706C">
        <w:tc>
          <w:tcPr>
            <w:tcW w:w="2488" w:type="dxa"/>
          </w:tcPr>
          <w:p w14:paraId="79E856CB" w14:textId="65BAC4F6" w:rsidR="003A7A2F" w:rsidRPr="000527C8" w:rsidRDefault="00E83565" w:rsidP="00396F1F">
            <w:pPr>
              <w:pStyle w:val="PlainText"/>
              <w:rPr>
                <w:rFonts w:ascii="Arial" w:hAnsi="Arial" w:cs="Arial"/>
                <w:b/>
                <w:sz w:val="22"/>
                <w:szCs w:val="22"/>
              </w:rPr>
            </w:pPr>
            <w:hyperlink r:id="rId8" w:history="1">
              <w:r w:rsidR="00396F1F" w:rsidRPr="000527C8">
                <w:rPr>
                  <w:rStyle w:val="Hyperlink"/>
                  <w:rFonts w:ascii="Arial" w:hAnsi="Arial" w:cs="Arial"/>
                  <w:b/>
                  <w:sz w:val="22"/>
                  <w:szCs w:val="22"/>
                </w:rPr>
                <w:t>08.19G</w:t>
              </w:r>
            </w:hyperlink>
          </w:p>
        </w:tc>
        <w:tc>
          <w:tcPr>
            <w:tcW w:w="6896" w:type="dxa"/>
          </w:tcPr>
          <w:p w14:paraId="6EDC39CD" w14:textId="77777777" w:rsidR="00396F1F" w:rsidRDefault="00396F1F" w:rsidP="00396F1F">
            <w:pPr>
              <w:pStyle w:val="PlainText"/>
              <w:rPr>
                <w:rFonts w:ascii="Arial" w:hAnsi="Arial" w:cs="Arial"/>
                <w:sz w:val="18"/>
              </w:rPr>
            </w:pPr>
            <w:r w:rsidRPr="00396F1F">
              <w:rPr>
                <w:rFonts w:ascii="Arial" w:hAnsi="Arial" w:cs="Arial"/>
                <w:sz w:val="18"/>
              </w:rPr>
              <w:t xml:space="preserve">Direct contact with an individual patient for psychiatric treatment (including medical psychotherapy and medication prescription), psychiatric reassessment, patient education and/or general psychiatric counselling, per 15 minutes or major portion thereof </w:t>
            </w:r>
          </w:p>
          <w:p w14:paraId="1FE3312F" w14:textId="77777777" w:rsidR="00396F1F" w:rsidRDefault="00396F1F" w:rsidP="00396F1F">
            <w:pPr>
              <w:pStyle w:val="PlainText"/>
              <w:rPr>
                <w:rFonts w:ascii="Arial" w:hAnsi="Arial" w:cs="Arial"/>
                <w:sz w:val="18"/>
              </w:rPr>
            </w:pPr>
            <w:r w:rsidRPr="00396F1F">
              <w:rPr>
                <w:rFonts w:ascii="Arial" w:hAnsi="Arial" w:cs="Arial"/>
                <w:sz w:val="18"/>
              </w:rPr>
              <w:t xml:space="preserve">NOTE:  1. May be claimed: -if the intent of the session is the therapy of one individual patient, whether or not more than one person is involved in the session. -when a physician assessment has established (during the same or previous visit) that the patient is suffering from a psychiatric disorder </w:t>
            </w:r>
          </w:p>
          <w:p w14:paraId="1ADC93DF" w14:textId="11A27159" w:rsidR="00396F1F" w:rsidRPr="00396F1F" w:rsidRDefault="00396F1F" w:rsidP="00396F1F">
            <w:pPr>
              <w:pStyle w:val="PlainText"/>
              <w:rPr>
                <w:rFonts w:ascii="Arial" w:hAnsi="Arial" w:cs="Arial"/>
                <w:sz w:val="18"/>
              </w:rPr>
            </w:pPr>
            <w:r w:rsidRPr="00396F1F">
              <w:rPr>
                <w:rFonts w:ascii="Arial" w:hAnsi="Arial" w:cs="Arial"/>
                <w:sz w:val="18"/>
              </w:rPr>
              <w:t>2. For treatment of non-psychiatric disorders, the appropriate office visit health service code should be claimed.</w:t>
            </w:r>
          </w:p>
          <w:p w14:paraId="61569E53" w14:textId="27C3DAB7" w:rsidR="003A7A2F" w:rsidRPr="00396F1F" w:rsidRDefault="003A7A2F" w:rsidP="003A7A2F">
            <w:pPr>
              <w:rPr>
                <w:rFonts w:cs="Arial"/>
                <w:sz w:val="18"/>
                <w:szCs w:val="20"/>
              </w:rPr>
            </w:pPr>
          </w:p>
        </w:tc>
        <w:tc>
          <w:tcPr>
            <w:tcW w:w="1106" w:type="dxa"/>
          </w:tcPr>
          <w:p w14:paraId="5304B922" w14:textId="77777777" w:rsidR="003A7A2F" w:rsidRPr="005E6D39" w:rsidRDefault="003A7A2F" w:rsidP="003A7A2F">
            <w:pPr>
              <w:rPr>
                <w:rFonts w:cs="Arial"/>
                <w:sz w:val="20"/>
                <w:szCs w:val="20"/>
              </w:rPr>
            </w:pPr>
            <w:r>
              <w:rPr>
                <w:rFonts w:cs="Arial"/>
                <w:sz w:val="20"/>
                <w:szCs w:val="20"/>
              </w:rPr>
              <w:t>$47.54/15 min or major portion thereof</w:t>
            </w:r>
          </w:p>
        </w:tc>
      </w:tr>
      <w:tr w:rsidR="00396F1F" w:rsidRPr="005E6D39" w14:paraId="32A8BCAC" w14:textId="77777777" w:rsidTr="0083706C">
        <w:tc>
          <w:tcPr>
            <w:tcW w:w="2488" w:type="dxa"/>
          </w:tcPr>
          <w:p w14:paraId="53C46164" w14:textId="770E90FF" w:rsidR="00396F1F" w:rsidRPr="000527C8" w:rsidRDefault="00E83565" w:rsidP="00396F1F">
            <w:pPr>
              <w:rPr>
                <w:rFonts w:cs="Arial"/>
                <w:b/>
              </w:rPr>
            </w:pPr>
            <w:hyperlink r:id="rId9" w:history="1">
              <w:r w:rsidR="00396F1F" w:rsidRPr="000527C8">
                <w:rPr>
                  <w:rStyle w:val="Hyperlink"/>
                  <w:rFonts w:cs="Arial"/>
                  <w:b/>
                </w:rPr>
                <w:t>03.02A</w:t>
              </w:r>
            </w:hyperlink>
          </w:p>
        </w:tc>
        <w:tc>
          <w:tcPr>
            <w:tcW w:w="6896" w:type="dxa"/>
          </w:tcPr>
          <w:p w14:paraId="2FD91E1C" w14:textId="6156F9E3" w:rsidR="00396F1F" w:rsidRPr="00396F1F" w:rsidRDefault="00396F1F" w:rsidP="00396F1F">
            <w:pPr>
              <w:pStyle w:val="PlainText"/>
              <w:rPr>
                <w:rFonts w:ascii="Arial" w:hAnsi="Arial" w:cs="Arial"/>
                <w:sz w:val="18"/>
                <w:szCs w:val="18"/>
              </w:rPr>
            </w:pPr>
            <w:r w:rsidRPr="00396F1F">
              <w:rPr>
                <w:rFonts w:ascii="Arial" w:hAnsi="Arial" w:cs="Arial"/>
                <w:sz w:val="18"/>
                <w:szCs w:val="18"/>
              </w:rPr>
              <w:t>Brief assessment of a patient's condition requiring a minimal history with little or no physical examination</w:t>
            </w:r>
          </w:p>
        </w:tc>
        <w:tc>
          <w:tcPr>
            <w:tcW w:w="1106" w:type="dxa"/>
          </w:tcPr>
          <w:p w14:paraId="3764D76A" w14:textId="40E6206C" w:rsidR="00396F1F" w:rsidRDefault="00396F1F" w:rsidP="003A7A2F">
            <w:pPr>
              <w:rPr>
                <w:rFonts w:cs="Arial"/>
                <w:sz w:val="20"/>
                <w:szCs w:val="20"/>
              </w:rPr>
            </w:pPr>
            <w:r>
              <w:rPr>
                <w:rFonts w:cs="Arial"/>
                <w:sz w:val="20"/>
                <w:szCs w:val="20"/>
              </w:rPr>
              <w:t>$28.53</w:t>
            </w:r>
          </w:p>
        </w:tc>
      </w:tr>
      <w:tr w:rsidR="003A7A2F" w:rsidRPr="005E6D39" w14:paraId="14BB3F3B" w14:textId="77777777" w:rsidTr="0083706C">
        <w:tc>
          <w:tcPr>
            <w:tcW w:w="2488" w:type="dxa"/>
          </w:tcPr>
          <w:p w14:paraId="37900A59" w14:textId="1BCE6DA7" w:rsidR="003A7A2F" w:rsidRPr="000527C8" w:rsidRDefault="00E83565" w:rsidP="00396F1F">
            <w:pPr>
              <w:rPr>
                <w:rFonts w:cs="Arial"/>
                <w:b/>
              </w:rPr>
            </w:pPr>
            <w:hyperlink r:id="rId10" w:history="1">
              <w:r w:rsidR="00396F1F" w:rsidRPr="000527C8">
                <w:rPr>
                  <w:rStyle w:val="Hyperlink"/>
                  <w:rFonts w:cs="Arial"/>
                  <w:b/>
                </w:rPr>
                <w:t>03.03A</w:t>
              </w:r>
            </w:hyperlink>
          </w:p>
          <w:p w14:paraId="4160B1F4" w14:textId="6A8CD338" w:rsidR="00396F1F" w:rsidRPr="000527C8" w:rsidRDefault="00396F1F" w:rsidP="00396F1F">
            <w:pPr>
              <w:rPr>
                <w:rFonts w:cs="Arial"/>
                <w:b/>
              </w:rPr>
            </w:pPr>
          </w:p>
        </w:tc>
        <w:tc>
          <w:tcPr>
            <w:tcW w:w="6896" w:type="dxa"/>
          </w:tcPr>
          <w:p w14:paraId="2E3CF8F3" w14:textId="77777777" w:rsidR="00396F1F" w:rsidRDefault="00396F1F" w:rsidP="00396F1F">
            <w:pPr>
              <w:pStyle w:val="PlainText"/>
              <w:rPr>
                <w:rFonts w:ascii="Arial" w:hAnsi="Arial" w:cs="Arial"/>
                <w:sz w:val="18"/>
              </w:rPr>
            </w:pPr>
            <w:r w:rsidRPr="00396F1F">
              <w:rPr>
                <w:rFonts w:ascii="Arial" w:hAnsi="Arial" w:cs="Arial"/>
                <w:sz w:val="18"/>
              </w:rPr>
              <w:t xml:space="preserve">Limited assessment of a patient's condition requiring a history related to the presenting problems, an examination of the relevant body systems, appropriate records, and advice to the patient </w:t>
            </w:r>
          </w:p>
          <w:p w14:paraId="236D8EF0" w14:textId="77777777" w:rsidR="00396F1F" w:rsidRDefault="00396F1F" w:rsidP="00396F1F">
            <w:pPr>
              <w:pStyle w:val="PlainText"/>
              <w:rPr>
                <w:rFonts w:ascii="Arial" w:hAnsi="Arial" w:cs="Arial"/>
                <w:sz w:val="18"/>
              </w:rPr>
            </w:pPr>
            <w:r w:rsidRPr="00396F1F">
              <w:rPr>
                <w:rFonts w:ascii="Arial" w:hAnsi="Arial" w:cs="Arial"/>
                <w:sz w:val="18"/>
              </w:rPr>
              <w:t xml:space="preserve">NOTE:  1. Benefit includes the ordering of appropriate diagnostic tests and procedures as well as discussion with the patient. </w:t>
            </w:r>
          </w:p>
          <w:p w14:paraId="3597B7A1" w14:textId="74275179" w:rsidR="003A7A2F" w:rsidRPr="00396F1F" w:rsidRDefault="00396F1F" w:rsidP="00396F1F">
            <w:pPr>
              <w:pStyle w:val="PlainText"/>
              <w:rPr>
                <w:rFonts w:ascii="Arial" w:hAnsi="Arial" w:cs="Arial"/>
                <w:sz w:val="18"/>
                <w:szCs w:val="18"/>
              </w:rPr>
            </w:pPr>
            <w:r w:rsidRPr="00396F1F">
              <w:rPr>
                <w:rFonts w:ascii="Arial" w:hAnsi="Arial" w:cs="Arial"/>
                <w:sz w:val="18"/>
              </w:rPr>
              <w:t>2. May not be claimed in addition to HSC 03.05JB at the same encounter</w:t>
            </w:r>
          </w:p>
        </w:tc>
        <w:tc>
          <w:tcPr>
            <w:tcW w:w="1106" w:type="dxa"/>
          </w:tcPr>
          <w:p w14:paraId="186C7B19" w14:textId="77777777" w:rsidR="003A7A2F" w:rsidRPr="005E6D39" w:rsidRDefault="003A7A2F" w:rsidP="003A7A2F">
            <w:pPr>
              <w:rPr>
                <w:rFonts w:cs="Arial"/>
                <w:sz w:val="20"/>
                <w:szCs w:val="20"/>
              </w:rPr>
            </w:pPr>
            <w:r>
              <w:rPr>
                <w:rFonts w:cs="Arial"/>
                <w:sz w:val="20"/>
                <w:szCs w:val="20"/>
              </w:rPr>
              <w:t>$38.03 +/- CMGP</w:t>
            </w:r>
          </w:p>
        </w:tc>
      </w:tr>
      <w:tr w:rsidR="003A7A2F" w:rsidRPr="005E6D39" w14:paraId="080E0CA8" w14:textId="77777777" w:rsidTr="0083706C">
        <w:tc>
          <w:tcPr>
            <w:tcW w:w="2488" w:type="dxa"/>
          </w:tcPr>
          <w:p w14:paraId="66F5ABC3" w14:textId="7CCE1F7F" w:rsidR="003A7A2F" w:rsidRPr="000527C8" w:rsidRDefault="00E83565" w:rsidP="003A7A2F">
            <w:pPr>
              <w:rPr>
                <w:rFonts w:cs="Arial"/>
                <w:b/>
                <w:u w:val="single"/>
              </w:rPr>
            </w:pPr>
            <w:hyperlink r:id="rId11" w:history="1">
              <w:r w:rsidR="00396F1F" w:rsidRPr="000527C8">
                <w:rPr>
                  <w:rStyle w:val="Hyperlink"/>
                  <w:rFonts w:cs="Arial"/>
                  <w:b/>
                </w:rPr>
                <w:t>CMGP</w:t>
              </w:r>
            </w:hyperlink>
          </w:p>
        </w:tc>
        <w:tc>
          <w:tcPr>
            <w:tcW w:w="6896" w:type="dxa"/>
          </w:tcPr>
          <w:p w14:paraId="79CB436F" w14:textId="0F2085CA" w:rsidR="003A7A2F" w:rsidRPr="005E6D39" w:rsidRDefault="0083706C">
            <w:pPr>
              <w:rPr>
                <w:rFonts w:cs="Arial"/>
                <w:sz w:val="20"/>
                <w:szCs w:val="20"/>
              </w:rPr>
            </w:pPr>
            <w:r w:rsidRPr="0083706C">
              <w:rPr>
                <w:rFonts w:cs="Arial"/>
                <w:sz w:val="20"/>
                <w:szCs w:val="20"/>
              </w:rPr>
              <w:t>This modifier is used to indicate a complex patient visit requiring that the physician spend 15 minutes or more on management of the patient's care. EACH ADDITIONAL UNIT REPRESENTS 10 MINUTES. ADDITIONAL UNITS MAY NOT BE CLAIMED UNLESS A FULL 10 MINUTES HAS ELAPSED. (Example: CMGP03 indicates a general practice physician has spent a minimum of 35 minutes with the patient. The first unit represents 15 minutes and each subsequent unit represents 10 minutes.) A maximum of 10 calls may be claimed. May only be claimed by general practitioners for HSCs 03.01J, 03.03A, 03.03B, 03.03C, 03.03N, 03.03P, 03.03Q, 03.07A, 03.07B.</w:t>
            </w:r>
          </w:p>
        </w:tc>
        <w:tc>
          <w:tcPr>
            <w:tcW w:w="1106" w:type="dxa"/>
          </w:tcPr>
          <w:p w14:paraId="05E6F33D" w14:textId="77777777" w:rsidR="003A7A2F" w:rsidRPr="005E6D39" w:rsidRDefault="003A7A2F" w:rsidP="003A7A2F">
            <w:pPr>
              <w:rPr>
                <w:rFonts w:cs="Arial"/>
                <w:sz w:val="20"/>
                <w:szCs w:val="20"/>
              </w:rPr>
            </w:pPr>
            <w:r>
              <w:rPr>
                <w:rFonts w:cs="Arial"/>
                <w:sz w:val="20"/>
                <w:szCs w:val="20"/>
              </w:rPr>
              <w:t>$18.48/ unit</w:t>
            </w:r>
          </w:p>
        </w:tc>
      </w:tr>
      <w:tr w:rsidR="003A7A2F" w:rsidRPr="005E6D39" w14:paraId="6CC7E3A9" w14:textId="77777777" w:rsidTr="0083706C">
        <w:tc>
          <w:tcPr>
            <w:tcW w:w="2488" w:type="dxa"/>
          </w:tcPr>
          <w:p w14:paraId="6C5AE03B" w14:textId="39883FF9" w:rsidR="003A7A2F" w:rsidRPr="000527C8" w:rsidRDefault="00E83565" w:rsidP="0083706C">
            <w:pPr>
              <w:rPr>
                <w:rFonts w:cs="Arial"/>
                <w:b/>
              </w:rPr>
            </w:pPr>
            <w:hyperlink r:id="rId12" w:history="1">
              <w:r w:rsidR="0083706C" w:rsidRPr="000527C8">
                <w:rPr>
                  <w:rStyle w:val="Hyperlink"/>
                  <w:rFonts w:cs="Arial"/>
                  <w:b/>
                </w:rPr>
                <w:t>03.05JR</w:t>
              </w:r>
            </w:hyperlink>
          </w:p>
        </w:tc>
        <w:tc>
          <w:tcPr>
            <w:tcW w:w="6896" w:type="dxa"/>
          </w:tcPr>
          <w:p w14:paraId="72D53A04" w14:textId="77777777" w:rsidR="0083706C" w:rsidRDefault="0083706C" w:rsidP="0083706C">
            <w:pPr>
              <w:pStyle w:val="PlainText"/>
              <w:rPr>
                <w:rFonts w:ascii="Arial" w:hAnsi="Arial" w:cs="Arial"/>
                <w:sz w:val="20"/>
              </w:rPr>
            </w:pPr>
            <w:r w:rsidRPr="0083706C">
              <w:rPr>
                <w:rFonts w:ascii="Arial" w:hAnsi="Arial" w:cs="Arial"/>
                <w:sz w:val="18"/>
              </w:rPr>
              <w:t xml:space="preserve">Physician telephone call directly to patient, to discuss patient management/diagnostic test results </w:t>
            </w:r>
          </w:p>
          <w:p w14:paraId="149B1383" w14:textId="77777777" w:rsidR="0083706C" w:rsidRDefault="0083706C" w:rsidP="0083706C">
            <w:pPr>
              <w:pStyle w:val="PlainText"/>
              <w:rPr>
                <w:rFonts w:ascii="Arial" w:hAnsi="Arial" w:cs="Arial"/>
                <w:sz w:val="18"/>
              </w:rPr>
            </w:pPr>
            <w:r w:rsidRPr="0083706C">
              <w:rPr>
                <w:rFonts w:ascii="Arial" w:hAnsi="Arial" w:cs="Arial"/>
                <w:sz w:val="18"/>
              </w:rPr>
              <w:t>NOTE:  1. A maximum of 14 telephone calls per physician, per calendar week may be claimed.</w:t>
            </w:r>
          </w:p>
          <w:p w14:paraId="1C37B2B3" w14:textId="77777777" w:rsidR="0083706C" w:rsidRDefault="0083706C" w:rsidP="0083706C">
            <w:pPr>
              <w:pStyle w:val="PlainText"/>
              <w:rPr>
                <w:rFonts w:ascii="Arial" w:hAnsi="Arial" w:cs="Arial"/>
                <w:sz w:val="18"/>
              </w:rPr>
            </w:pPr>
            <w:r w:rsidRPr="0083706C">
              <w:rPr>
                <w:rFonts w:ascii="Arial" w:hAnsi="Arial" w:cs="Arial"/>
                <w:sz w:val="18"/>
              </w:rPr>
              <w:t xml:space="preserve">2. May not be claimed for management of patient's anticoagulant therapy (billable under HSC 03.01N). </w:t>
            </w:r>
          </w:p>
          <w:p w14:paraId="6EE2C43A" w14:textId="77777777" w:rsidR="0083706C" w:rsidRDefault="0083706C" w:rsidP="0083706C">
            <w:pPr>
              <w:pStyle w:val="PlainText"/>
              <w:rPr>
                <w:rFonts w:ascii="Arial" w:hAnsi="Arial" w:cs="Arial"/>
                <w:sz w:val="18"/>
              </w:rPr>
            </w:pPr>
            <w:r w:rsidRPr="0083706C">
              <w:rPr>
                <w:rFonts w:ascii="Arial" w:hAnsi="Arial" w:cs="Arial"/>
                <w:sz w:val="18"/>
              </w:rPr>
              <w:t xml:space="preserve">3. May only be claimed when communication is provided by the physician. </w:t>
            </w:r>
          </w:p>
          <w:p w14:paraId="5C66D525" w14:textId="77777777" w:rsidR="0083706C" w:rsidRDefault="0083706C" w:rsidP="0083706C">
            <w:pPr>
              <w:pStyle w:val="PlainText"/>
              <w:rPr>
                <w:rFonts w:ascii="Arial" w:hAnsi="Arial" w:cs="Arial"/>
                <w:sz w:val="18"/>
              </w:rPr>
            </w:pPr>
            <w:r w:rsidRPr="0083706C">
              <w:rPr>
                <w:rFonts w:ascii="Arial" w:hAnsi="Arial" w:cs="Arial"/>
                <w:sz w:val="18"/>
              </w:rPr>
              <w:t xml:space="preserve">4. Documentation of the communication to be recorded in the patient record. </w:t>
            </w:r>
          </w:p>
          <w:p w14:paraId="106916D2" w14:textId="77777777" w:rsidR="0083706C" w:rsidRDefault="0083706C" w:rsidP="0083706C">
            <w:pPr>
              <w:pStyle w:val="PlainText"/>
              <w:rPr>
                <w:rFonts w:ascii="Arial" w:hAnsi="Arial" w:cs="Arial"/>
                <w:sz w:val="18"/>
              </w:rPr>
            </w:pPr>
            <w:r w:rsidRPr="0083706C">
              <w:rPr>
                <w:rFonts w:ascii="Arial" w:hAnsi="Arial" w:cs="Arial"/>
                <w:sz w:val="18"/>
              </w:rPr>
              <w:t xml:space="preserve">5. May be claimed in addition to visits or other services provided on the same day, by the same physician. </w:t>
            </w:r>
          </w:p>
          <w:p w14:paraId="2909E484" w14:textId="700BD14B" w:rsidR="003A7A2F" w:rsidRPr="0083706C" w:rsidRDefault="0083706C" w:rsidP="0083706C">
            <w:pPr>
              <w:pStyle w:val="PlainText"/>
              <w:rPr>
                <w:rFonts w:ascii="Courier New" w:hAnsi="Courier New" w:cs="Courier New"/>
                <w:sz w:val="16"/>
              </w:rPr>
            </w:pPr>
            <w:r w:rsidRPr="0083706C">
              <w:rPr>
                <w:rFonts w:ascii="Arial" w:hAnsi="Arial" w:cs="Arial"/>
                <w:sz w:val="18"/>
              </w:rPr>
              <w:t>6. Neither HSCs 03.01S or 03.01T are payable if HSC 03.05JR is claimed in the same calendar week by the same physician for the same patient</w:t>
            </w:r>
            <w:r w:rsidRPr="00B70ED1">
              <w:rPr>
                <w:rFonts w:ascii="Courier New" w:hAnsi="Courier New" w:cs="Courier New"/>
                <w:sz w:val="16"/>
              </w:rPr>
              <w:t>.</w:t>
            </w:r>
          </w:p>
        </w:tc>
        <w:tc>
          <w:tcPr>
            <w:tcW w:w="1106" w:type="dxa"/>
          </w:tcPr>
          <w:p w14:paraId="7B906036" w14:textId="77777777" w:rsidR="003A7A2F" w:rsidRPr="005E6D39" w:rsidRDefault="003A7A2F" w:rsidP="003A7A2F">
            <w:pPr>
              <w:rPr>
                <w:rFonts w:cs="Arial"/>
                <w:sz w:val="20"/>
                <w:szCs w:val="20"/>
              </w:rPr>
            </w:pPr>
            <w:r>
              <w:rPr>
                <w:rFonts w:cs="Arial"/>
                <w:sz w:val="20"/>
                <w:szCs w:val="20"/>
              </w:rPr>
              <w:t>$20</w:t>
            </w:r>
          </w:p>
        </w:tc>
      </w:tr>
      <w:tr w:rsidR="0083706C" w:rsidRPr="005E6D39" w14:paraId="168011E8" w14:textId="77777777" w:rsidTr="0083706C">
        <w:tc>
          <w:tcPr>
            <w:tcW w:w="2488" w:type="dxa"/>
          </w:tcPr>
          <w:p w14:paraId="13F61E5B" w14:textId="100237F3" w:rsidR="0083706C" w:rsidRPr="000527C8" w:rsidRDefault="00E83565" w:rsidP="0038182F">
            <w:pPr>
              <w:rPr>
                <w:rFonts w:cs="Arial"/>
                <w:b/>
              </w:rPr>
            </w:pPr>
            <w:hyperlink r:id="rId13" w:history="1">
              <w:r w:rsidR="0083706C" w:rsidRPr="000527C8">
                <w:rPr>
                  <w:rStyle w:val="Hyperlink"/>
                  <w:rFonts w:cs="Arial"/>
                  <w:b/>
                </w:rPr>
                <w:t>03.01S</w:t>
              </w:r>
            </w:hyperlink>
          </w:p>
        </w:tc>
        <w:tc>
          <w:tcPr>
            <w:tcW w:w="6896" w:type="dxa"/>
          </w:tcPr>
          <w:p w14:paraId="19528224" w14:textId="77777777" w:rsidR="0083706C" w:rsidRDefault="0083706C" w:rsidP="0038182F">
            <w:pPr>
              <w:rPr>
                <w:rFonts w:cs="Arial"/>
                <w:sz w:val="18"/>
              </w:rPr>
            </w:pPr>
            <w:r w:rsidRPr="0083706C">
              <w:rPr>
                <w:rFonts w:cs="Arial"/>
                <w:sz w:val="18"/>
              </w:rPr>
              <w:t xml:space="preserve">Physician to patient secure electronic communication </w:t>
            </w:r>
          </w:p>
          <w:p w14:paraId="6BCA2EF4" w14:textId="77777777" w:rsidR="0083706C" w:rsidRDefault="0083706C" w:rsidP="0038182F">
            <w:pPr>
              <w:rPr>
                <w:rFonts w:cs="Arial"/>
                <w:sz w:val="18"/>
              </w:rPr>
            </w:pPr>
            <w:r w:rsidRPr="0083706C">
              <w:rPr>
                <w:rFonts w:cs="Arial"/>
                <w:sz w:val="18"/>
              </w:rPr>
              <w:t xml:space="preserve">NOTE:  1. May only be claimed for medically necessary advice or follow up where the nature of the condition can safely be managed via secure email. </w:t>
            </w:r>
          </w:p>
          <w:p w14:paraId="0A37F85D" w14:textId="77777777" w:rsidR="0083706C" w:rsidRDefault="0083706C" w:rsidP="0038182F">
            <w:pPr>
              <w:rPr>
                <w:rFonts w:cs="Arial"/>
                <w:sz w:val="18"/>
              </w:rPr>
            </w:pPr>
            <w:r w:rsidRPr="0083706C">
              <w:rPr>
                <w:rFonts w:cs="Arial"/>
                <w:sz w:val="18"/>
              </w:rPr>
              <w:t xml:space="preserve">2. May only be claimed when the service is provided using a secure email system that is in compliance with the CPSA guidelines on secure electronic communication </w:t>
            </w:r>
            <w:r w:rsidRPr="0083706C">
              <w:rPr>
                <w:rFonts w:cs="Arial"/>
                <w:sz w:val="18"/>
              </w:rPr>
              <w:lastRenderedPageBreak/>
              <w:t xml:space="preserve">and when the physician/clinic has submitted a Privacy Impact Assessment for this service acceptable to the Office of the Privacy Commissioner of Alberta. </w:t>
            </w:r>
          </w:p>
          <w:p w14:paraId="459B868F" w14:textId="77777777" w:rsidR="0083706C" w:rsidRDefault="0083706C" w:rsidP="0038182F">
            <w:pPr>
              <w:rPr>
                <w:rFonts w:cs="Arial"/>
                <w:sz w:val="18"/>
              </w:rPr>
            </w:pPr>
            <w:r w:rsidRPr="0083706C">
              <w:rPr>
                <w:rFonts w:cs="Arial"/>
                <w:sz w:val="18"/>
              </w:rPr>
              <w:t xml:space="preserve">3. May only be claimed for those patients where an established physician-patient relationship exists and the physician has seen the patient in the previous 12 months </w:t>
            </w:r>
          </w:p>
          <w:p w14:paraId="7F7280B7" w14:textId="77777777" w:rsidR="0083706C" w:rsidRDefault="0083706C" w:rsidP="0038182F">
            <w:pPr>
              <w:rPr>
                <w:rFonts w:cs="Arial"/>
                <w:sz w:val="18"/>
              </w:rPr>
            </w:pPr>
            <w:r w:rsidRPr="0083706C">
              <w:rPr>
                <w:rFonts w:cs="Arial"/>
                <w:sz w:val="18"/>
              </w:rPr>
              <w:t xml:space="preserve">4. Physicians and patients must have previously discussed and agreed to the limitations of health management using electronic means. </w:t>
            </w:r>
          </w:p>
          <w:p w14:paraId="1358BAE9" w14:textId="77777777" w:rsidR="0083706C" w:rsidRDefault="0083706C" w:rsidP="0038182F">
            <w:pPr>
              <w:rPr>
                <w:rFonts w:cs="Arial"/>
                <w:sz w:val="18"/>
              </w:rPr>
            </w:pPr>
            <w:r w:rsidRPr="0083706C">
              <w:rPr>
                <w:rFonts w:cs="Arial"/>
                <w:sz w:val="18"/>
              </w:rPr>
              <w:t xml:space="preserve">5. Secure electronic communication must inform patients when the physician is unavailable. </w:t>
            </w:r>
          </w:p>
          <w:p w14:paraId="03FC1061" w14:textId="77777777" w:rsidR="0083706C" w:rsidRDefault="0083706C" w:rsidP="0038182F">
            <w:pPr>
              <w:rPr>
                <w:rFonts w:cs="Arial"/>
                <w:sz w:val="18"/>
              </w:rPr>
            </w:pPr>
            <w:r w:rsidRPr="0083706C">
              <w:rPr>
                <w:rFonts w:cs="Arial"/>
                <w:sz w:val="18"/>
              </w:rPr>
              <w:t xml:space="preserve">6. May only be claimed once per week per patient per physician. </w:t>
            </w:r>
          </w:p>
          <w:p w14:paraId="26B38568" w14:textId="77777777" w:rsidR="0083706C" w:rsidRDefault="0083706C" w:rsidP="0038182F">
            <w:pPr>
              <w:rPr>
                <w:rFonts w:cs="Arial"/>
                <w:sz w:val="18"/>
              </w:rPr>
            </w:pPr>
            <w:r w:rsidRPr="0083706C">
              <w:rPr>
                <w:rFonts w:cs="Arial"/>
                <w:sz w:val="18"/>
              </w:rPr>
              <w:t xml:space="preserve">7. A maximum of fourteen 03.01S per calendar week per physician may be claimed. </w:t>
            </w:r>
          </w:p>
          <w:p w14:paraId="50461167" w14:textId="77777777" w:rsidR="0083706C" w:rsidRDefault="0083706C" w:rsidP="0038182F">
            <w:pPr>
              <w:rPr>
                <w:rFonts w:cs="Arial"/>
                <w:sz w:val="18"/>
              </w:rPr>
            </w:pPr>
            <w:r w:rsidRPr="0083706C">
              <w:rPr>
                <w:rFonts w:cs="Arial"/>
                <w:sz w:val="18"/>
              </w:rPr>
              <w:t xml:space="preserve">8. A visit service may not be claimed if provided within 24 hours following the electronic communication. </w:t>
            </w:r>
          </w:p>
          <w:p w14:paraId="1AB4B1C5" w14:textId="77777777" w:rsidR="0083706C" w:rsidRDefault="0083706C" w:rsidP="0038182F">
            <w:pPr>
              <w:rPr>
                <w:rFonts w:cs="Arial"/>
                <w:sz w:val="18"/>
              </w:rPr>
            </w:pPr>
            <w:r w:rsidRPr="0083706C">
              <w:rPr>
                <w:rFonts w:cs="Arial"/>
                <w:sz w:val="18"/>
              </w:rPr>
              <w:t xml:space="preserve">9. HSC 03.01S is not payable in the same calendar week as 03.05JR or 03.01T by the same physician for the same patient. </w:t>
            </w:r>
          </w:p>
          <w:p w14:paraId="2A813004" w14:textId="77777777" w:rsidR="0083706C" w:rsidRDefault="0083706C" w:rsidP="0038182F">
            <w:pPr>
              <w:rPr>
                <w:rFonts w:cs="Arial"/>
                <w:sz w:val="18"/>
              </w:rPr>
            </w:pPr>
            <w:r w:rsidRPr="0083706C">
              <w:rPr>
                <w:rFonts w:cs="Arial"/>
                <w:sz w:val="18"/>
              </w:rPr>
              <w:t xml:space="preserve">10. May not be claimed when the service is provided by a physician proxy. </w:t>
            </w:r>
          </w:p>
          <w:p w14:paraId="7B846197" w14:textId="77777777" w:rsidR="0083706C" w:rsidRDefault="0083706C" w:rsidP="0038182F">
            <w:pPr>
              <w:rPr>
                <w:rFonts w:cs="Arial"/>
                <w:sz w:val="18"/>
              </w:rPr>
            </w:pPr>
            <w:r w:rsidRPr="0083706C">
              <w:rPr>
                <w:rFonts w:cs="Arial"/>
                <w:sz w:val="18"/>
              </w:rPr>
              <w:t xml:space="preserve">11. Documentation of the service must be recorded in the patients' record. </w:t>
            </w:r>
          </w:p>
          <w:p w14:paraId="63F733FE" w14:textId="391BD342" w:rsidR="0083706C" w:rsidRPr="0083706C" w:rsidRDefault="0083706C" w:rsidP="0038182F">
            <w:pPr>
              <w:rPr>
                <w:rFonts w:cs="Arial"/>
                <w:sz w:val="18"/>
                <w:szCs w:val="20"/>
              </w:rPr>
            </w:pPr>
            <w:r w:rsidRPr="0083706C">
              <w:rPr>
                <w:rFonts w:cs="Arial"/>
                <w:sz w:val="18"/>
              </w:rPr>
              <w:t>12. May not be claimed for inpatients.</w:t>
            </w:r>
          </w:p>
        </w:tc>
        <w:tc>
          <w:tcPr>
            <w:tcW w:w="1106" w:type="dxa"/>
          </w:tcPr>
          <w:p w14:paraId="1D927430" w14:textId="04FAE2D6" w:rsidR="0083706C" w:rsidRDefault="0083706C" w:rsidP="003A7A2F">
            <w:pPr>
              <w:rPr>
                <w:rFonts w:cs="Arial"/>
                <w:sz w:val="20"/>
                <w:szCs w:val="20"/>
              </w:rPr>
            </w:pPr>
            <w:r>
              <w:rPr>
                <w:rFonts w:cs="Arial"/>
                <w:sz w:val="20"/>
                <w:szCs w:val="20"/>
              </w:rPr>
              <w:lastRenderedPageBreak/>
              <w:t>$20</w:t>
            </w:r>
          </w:p>
        </w:tc>
      </w:tr>
      <w:tr w:rsidR="003A7A2F" w:rsidRPr="005E6D39" w14:paraId="7F04F5ED" w14:textId="77777777" w:rsidTr="0083706C">
        <w:tc>
          <w:tcPr>
            <w:tcW w:w="2488" w:type="dxa"/>
          </w:tcPr>
          <w:p w14:paraId="042E983C" w14:textId="6482BA17" w:rsidR="003A7A2F" w:rsidRPr="000527C8" w:rsidRDefault="00E83565" w:rsidP="00EA1754">
            <w:pPr>
              <w:rPr>
                <w:rFonts w:cs="Arial"/>
                <w:b/>
              </w:rPr>
            </w:pPr>
            <w:hyperlink r:id="rId14" w:history="1">
              <w:r w:rsidR="003A7A2F" w:rsidRPr="000527C8">
                <w:rPr>
                  <w:rStyle w:val="Hyperlink"/>
                  <w:rFonts w:cs="Arial"/>
                  <w:b/>
                </w:rPr>
                <w:t>03.01T</w:t>
              </w:r>
            </w:hyperlink>
            <w:r w:rsidR="003A7A2F" w:rsidRPr="000527C8">
              <w:rPr>
                <w:rFonts w:cs="Arial"/>
                <w:b/>
              </w:rPr>
              <w:t xml:space="preserve"> </w:t>
            </w:r>
          </w:p>
        </w:tc>
        <w:tc>
          <w:tcPr>
            <w:tcW w:w="6896" w:type="dxa"/>
          </w:tcPr>
          <w:p w14:paraId="35AC2A6A" w14:textId="77777777" w:rsidR="008A0624" w:rsidRDefault="008A0624" w:rsidP="0083706C">
            <w:pPr>
              <w:rPr>
                <w:rFonts w:cs="Arial"/>
                <w:sz w:val="18"/>
                <w:szCs w:val="18"/>
              </w:rPr>
            </w:pPr>
            <w:r w:rsidRPr="008A0624">
              <w:rPr>
                <w:rFonts w:cs="Arial"/>
                <w:sz w:val="18"/>
                <w:szCs w:val="18"/>
              </w:rPr>
              <w:t xml:space="preserve">Physician to patient secure videoconference </w:t>
            </w:r>
          </w:p>
          <w:p w14:paraId="4AA1F089" w14:textId="77777777" w:rsidR="008A0624" w:rsidRDefault="008A0624" w:rsidP="0083706C">
            <w:pPr>
              <w:rPr>
                <w:rFonts w:cs="Arial"/>
                <w:sz w:val="18"/>
                <w:szCs w:val="18"/>
              </w:rPr>
            </w:pPr>
            <w:r w:rsidRPr="008A0624">
              <w:rPr>
                <w:rFonts w:cs="Arial"/>
                <w:sz w:val="18"/>
                <w:szCs w:val="18"/>
              </w:rPr>
              <w:t xml:space="preserve">NOTE:  1. May only be claimed for medically necessary advice or follow up where the nature of the condition can safely be managed via secure videoconference. </w:t>
            </w:r>
          </w:p>
          <w:p w14:paraId="201A1534" w14:textId="77777777" w:rsidR="008A0624" w:rsidRDefault="008A0624" w:rsidP="0083706C">
            <w:pPr>
              <w:rPr>
                <w:rFonts w:cs="Arial"/>
                <w:sz w:val="18"/>
                <w:szCs w:val="18"/>
              </w:rPr>
            </w:pPr>
            <w:r w:rsidRPr="008A0624">
              <w:rPr>
                <w:rFonts w:cs="Arial"/>
                <w:sz w:val="18"/>
                <w:szCs w:val="18"/>
              </w:rPr>
              <w:t xml:space="preserve">2. May only be claimed for those patients where an established physician-patient relationship exist and the physician has seen the patient in the previous 12 months. </w:t>
            </w:r>
          </w:p>
          <w:p w14:paraId="1E0E0162" w14:textId="77777777" w:rsidR="008A0624" w:rsidRDefault="008A0624" w:rsidP="0083706C">
            <w:pPr>
              <w:rPr>
                <w:rFonts w:cs="Arial"/>
                <w:sz w:val="18"/>
                <w:szCs w:val="18"/>
              </w:rPr>
            </w:pPr>
            <w:r w:rsidRPr="008A0624">
              <w:rPr>
                <w:rFonts w:cs="Arial"/>
                <w:sz w:val="18"/>
                <w:szCs w:val="18"/>
              </w:rPr>
              <w:t xml:space="preserve">3. May only be claimed when the service is provided using a secure videoconference system that is in compliance with the CPSA guidelines on secure electronic communication and when the physician/clinic has submitted a Privacy Impact Assessment for this service acceptable to the Office of the Privacy Commissioner of Alberta. </w:t>
            </w:r>
          </w:p>
          <w:p w14:paraId="3448273D" w14:textId="77777777" w:rsidR="008A0624" w:rsidRDefault="008A0624" w:rsidP="0083706C">
            <w:pPr>
              <w:rPr>
                <w:rFonts w:cs="Arial"/>
                <w:sz w:val="18"/>
                <w:szCs w:val="18"/>
              </w:rPr>
            </w:pPr>
            <w:r w:rsidRPr="008A0624">
              <w:rPr>
                <w:rFonts w:cs="Arial"/>
                <w:sz w:val="18"/>
                <w:szCs w:val="18"/>
              </w:rPr>
              <w:t xml:space="preserve">4. May only be claimed once per week per patient per physician. </w:t>
            </w:r>
          </w:p>
          <w:p w14:paraId="1FCB1B33" w14:textId="77777777" w:rsidR="008A0624" w:rsidRDefault="008A0624" w:rsidP="0083706C">
            <w:pPr>
              <w:rPr>
                <w:rFonts w:cs="Arial"/>
                <w:sz w:val="18"/>
                <w:szCs w:val="18"/>
              </w:rPr>
            </w:pPr>
            <w:r w:rsidRPr="008A0624">
              <w:rPr>
                <w:rFonts w:cs="Arial"/>
                <w:sz w:val="18"/>
                <w:szCs w:val="18"/>
              </w:rPr>
              <w:t xml:space="preserve">5. A maximum of fourteen 03.01T per calendar week per physician may be claimed. </w:t>
            </w:r>
          </w:p>
          <w:p w14:paraId="09351182" w14:textId="77777777" w:rsidR="008A0624" w:rsidRDefault="008A0624" w:rsidP="0083706C">
            <w:pPr>
              <w:rPr>
                <w:rFonts w:cs="Arial"/>
                <w:sz w:val="18"/>
                <w:szCs w:val="18"/>
              </w:rPr>
            </w:pPr>
            <w:r w:rsidRPr="008A0624">
              <w:rPr>
                <w:rFonts w:cs="Arial"/>
                <w:sz w:val="18"/>
                <w:szCs w:val="18"/>
              </w:rPr>
              <w:t xml:space="preserve">6. A visit service may not be claimed if provided within 24 hours following the electronic communication. </w:t>
            </w:r>
          </w:p>
          <w:p w14:paraId="5300C447" w14:textId="77777777" w:rsidR="008A0624" w:rsidRDefault="008A0624" w:rsidP="0083706C">
            <w:pPr>
              <w:rPr>
                <w:rFonts w:cs="Arial"/>
                <w:sz w:val="18"/>
                <w:szCs w:val="18"/>
              </w:rPr>
            </w:pPr>
            <w:r w:rsidRPr="008A0624">
              <w:rPr>
                <w:rFonts w:cs="Arial"/>
                <w:sz w:val="18"/>
                <w:szCs w:val="18"/>
              </w:rPr>
              <w:t xml:space="preserve">7. HSC 03.01T is not payable in the same calendar week as 03.05JR or 03.01S by the same physician for the same patient. </w:t>
            </w:r>
          </w:p>
          <w:p w14:paraId="6A43E618" w14:textId="77777777" w:rsidR="008A0624" w:rsidRDefault="008A0624" w:rsidP="0083706C">
            <w:pPr>
              <w:rPr>
                <w:rFonts w:cs="Arial"/>
                <w:sz w:val="18"/>
                <w:szCs w:val="18"/>
              </w:rPr>
            </w:pPr>
            <w:r w:rsidRPr="008A0624">
              <w:rPr>
                <w:rFonts w:cs="Arial"/>
                <w:sz w:val="18"/>
                <w:szCs w:val="18"/>
              </w:rPr>
              <w:t xml:space="preserve">8. May not be claimed when the service is provided by a physician proxy. </w:t>
            </w:r>
          </w:p>
          <w:p w14:paraId="103B650A" w14:textId="77777777" w:rsidR="008A0624" w:rsidRDefault="008A0624" w:rsidP="0083706C">
            <w:pPr>
              <w:rPr>
                <w:rFonts w:cs="Arial"/>
                <w:sz w:val="18"/>
                <w:szCs w:val="18"/>
              </w:rPr>
            </w:pPr>
            <w:r w:rsidRPr="008A0624">
              <w:rPr>
                <w:rFonts w:cs="Arial"/>
                <w:sz w:val="18"/>
                <w:szCs w:val="18"/>
              </w:rPr>
              <w:t xml:space="preserve">9. Documentation of the service must be recorded in the patients' record. </w:t>
            </w:r>
          </w:p>
          <w:p w14:paraId="699830B5" w14:textId="49DF2280" w:rsidR="003A7A2F" w:rsidRPr="008A0624" w:rsidRDefault="008A0624" w:rsidP="0083706C">
            <w:pPr>
              <w:rPr>
                <w:rFonts w:cs="Arial"/>
                <w:sz w:val="18"/>
                <w:szCs w:val="18"/>
              </w:rPr>
            </w:pPr>
            <w:r w:rsidRPr="008A0624">
              <w:rPr>
                <w:rFonts w:cs="Arial"/>
                <w:sz w:val="18"/>
                <w:szCs w:val="18"/>
              </w:rPr>
              <w:t>10. May not be claimed for inpatients</w:t>
            </w:r>
          </w:p>
        </w:tc>
        <w:tc>
          <w:tcPr>
            <w:tcW w:w="1106" w:type="dxa"/>
          </w:tcPr>
          <w:p w14:paraId="0E9180C0" w14:textId="77777777" w:rsidR="003A7A2F" w:rsidRPr="005E6D39" w:rsidRDefault="003A7A2F" w:rsidP="003A7A2F">
            <w:pPr>
              <w:rPr>
                <w:rFonts w:cs="Arial"/>
                <w:sz w:val="20"/>
                <w:szCs w:val="20"/>
              </w:rPr>
            </w:pPr>
            <w:r>
              <w:rPr>
                <w:rFonts w:cs="Arial"/>
                <w:sz w:val="20"/>
                <w:szCs w:val="20"/>
              </w:rPr>
              <w:t>$20</w:t>
            </w:r>
          </w:p>
        </w:tc>
      </w:tr>
      <w:tr w:rsidR="003A7A2F" w:rsidRPr="005E6D39" w14:paraId="5DA5BDDF" w14:textId="77777777" w:rsidTr="0083706C">
        <w:tc>
          <w:tcPr>
            <w:tcW w:w="2488" w:type="dxa"/>
          </w:tcPr>
          <w:p w14:paraId="65FD29BA" w14:textId="26AB0976" w:rsidR="008A0624" w:rsidRPr="000527C8" w:rsidRDefault="00E83565" w:rsidP="008A0624">
            <w:pPr>
              <w:rPr>
                <w:rFonts w:cs="Arial"/>
                <w:b/>
              </w:rPr>
            </w:pPr>
            <w:hyperlink r:id="rId15" w:history="1">
              <w:r w:rsidR="008A0624" w:rsidRPr="000527C8">
                <w:rPr>
                  <w:rStyle w:val="Hyperlink"/>
                  <w:rFonts w:cs="Arial"/>
                  <w:b/>
                </w:rPr>
                <w:t>03.05JH</w:t>
              </w:r>
            </w:hyperlink>
          </w:p>
        </w:tc>
        <w:tc>
          <w:tcPr>
            <w:tcW w:w="6896" w:type="dxa"/>
          </w:tcPr>
          <w:p w14:paraId="01AFEC46" w14:textId="77777777" w:rsidR="000527C8" w:rsidRDefault="000527C8" w:rsidP="000527C8">
            <w:pPr>
              <w:pStyle w:val="PlainText"/>
              <w:rPr>
                <w:rFonts w:ascii="Arial" w:hAnsi="Arial" w:cs="Arial"/>
                <w:sz w:val="20"/>
              </w:rPr>
            </w:pPr>
            <w:r w:rsidRPr="000527C8">
              <w:rPr>
                <w:rFonts w:ascii="Arial" w:hAnsi="Arial" w:cs="Arial"/>
                <w:sz w:val="18"/>
              </w:rPr>
              <w:t xml:space="preserve">Family conference via telephone, in regards to a community patient </w:t>
            </w:r>
          </w:p>
          <w:p w14:paraId="2B8E582A" w14:textId="77777777" w:rsidR="000527C8" w:rsidRDefault="000527C8" w:rsidP="000527C8">
            <w:pPr>
              <w:pStyle w:val="PlainText"/>
              <w:rPr>
                <w:rFonts w:ascii="Arial" w:hAnsi="Arial" w:cs="Arial"/>
                <w:sz w:val="18"/>
              </w:rPr>
            </w:pPr>
            <w:r w:rsidRPr="000527C8">
              <w:rPr>
                <w:rFonts w:ascii="Arial" w:hAnsi="Arial" w:cs="Arial"/>
                <w:sz w:val="18"/>
              </w:rPr>
              <w:t xml:space="preserve">NOTE: 1. This service is to be claimed using the Personal Health Number of the patient. </w:t>
            </w:r>
          </w:p>
          <w:p w14:paraId="36B44A87" w14:textId="77777777" w:rsidR="000527C8" w:rsidRDefault="000527C8" w:rsidP="000527C8">
            <w:pPr>
              <w:pStyle w:val="PlainText"/>
              <w:rPr>
                <w:rFonts w:ascii="Arial" w:hAnsi="Arial" w:cs="Arial"/>
                <w:sz w:val="18"/>
              </w:rPr>
            </w:pPr>
            <w:r w:rsidRPr="000527C8">
              <w:rPr>
                <w:rFonts w:ascii="Arial" w:hAnsi="Arial" w:cs="Arial"/>
                <w:sz w:val="18"/>
              </w:rPr>
              <w:t xml:space="preserve">2. May be claimed in situations where: </w:t>
            </w:r>
          </w:p>
          <w:p w14:paraId="485CB937" w14:textId="77777777" w:rsidR="000527C8" w:rsidRDefault="000527C8" w:rsidP="000527C8">
            <w:pPr>
              <w:pStyle w:val="PlainText"/>
              <w:rPr>
                <w:rFonts w:ascii="Arial" w:hAnsi="Arial" w:cs="Arial"/>
                <w:sz w:val="18"/>
              </w:rPr>
            </w:pPr>
            <w:r>
              <w:rPr>
                <w:rFonts w:ascii="Arial" w:hAnsi="Arial" w:cs="Arial"/>
                <w:sz w:val="18"/>
              </w:rPr>
              <w:t xml:space="preserve">     </w:t>
            </w:r>
            <w:r w:rsidRPr="000527C8">
              <w:rPr>
                <w:rFonts w:ascii="Arial" w:hAnsi="Arial" w:cs="Arial"/>
                <w:sz w:val="18"/>
              </w:rPr>
              <w:t>a) location or mobility factors of family members at the time of the call preclude</w:t>
            </w:r>
          </w:p>
          <w:p w14:paraId="20E0694A" w14:textId="163C6091" w:rsidR="000527C8" w:rsidRDefault="000527C8" w:rsidP="000527C8">
            <w:pPr>
              <w:pStyle w:val="PlainText"/>
              <w:rPr>
                <w:rFonts w:ascii="Arial" w:hAnsi="Arial" w:cs="Arial"/>
                <w:sz w:val="18"/>
              </w:rPr>
            </w:pPr>
            <w:r>
              <w:rPr>
                <w:rFonts w:ascii="Arial" w:hAnsi="Arial" w:cs="Arial"/>
                <w:sz w:val="18"/>
              </w:rPr>
              <w:t xml:space="preserve">         </w:t>
            </w:r>
            <w:r w:rsidRPr="000527C8">
              <w:rPr>
                <w:rFonts w:ascii="Arial" w:hAnsi="Arial" w:cs="Arial"/>
                <w:sz w:val="18"/>
              </w:rPr>
              <w:t xml:space="preserve"> in person meetings. </w:t>
            </w:r>
          </w:p>
          <w:p w14:paraId="4F172EAB" w14:textId="77777777" w:rsidR="000527C8" w:rsidRDefault="000527C8" w:rsidP="000527C8">
            <w:pPr>
              <w:pStyle w:val="PlainText"/>
              <w:rPr>
                <w:rFonts w:ascii="Arial" w:hAnsi="Arial" w:cs="Arial"/>
                <w:sz w:val="18"/>
              </w:rPr>
            </w:pPr>
            <w:r>
              <w:rPr>
                <w:rFonts w:ascii="Arial" w:hAnsi="Arial" w:cs="Arial"/>
                <w:sz w:val="18"/>
              </w:rPr>
              <w:t xml:space="preserve">      </w:t>
            </w:r>
            <w:r w:rsidRPr="000527C8">
              <w:rPr>
                <w:rFonts w:ascii="Arial" w:hAnsi="Arial" w:cs="Arial"/>
                <w:sz w:val="18"/>
              </w:rPr>
              <w:t xml:space="preserve">b) communication about a patient's condition or to gather collateral information </w:t>
            </w:r>
          </w:p>
          <w:p w14:paraId="38C58AB2" w14:textId="52BBC960" w:rsidR="000527C8" w:rsidRDefault="000527C8" w:rsidP="000527C8">
            <w:pPr>
              <w:pStyle w:val="PlainText"/>
              <w:rPr>
                <w:rFonts w:ascii="Arial" w:hAnsi="Arial" w:cs="Arial"/>
                <w:sz w:val="18"/>
              </w:rPr>
            </w:pPr>
            <w:r>
              <w:rPr>
                <w:rFonts w:ascii="Arial" w:hAnsi="Arial" w:cs="Arial"/>
                <w:sz w:val="18"/>
              </w:rPr>
              <w:t xml:space="preserve">          </w:t>
            </w:r>
            <w:r w:rsidRPr="000527C8">
              <w:rPr>
                <w:rFonts w:ascii="Arial" w:hAnsi="Arial" w:cs="Arial"/>
                <w:sz w:val="18"/>
              </w:rPr>
              <w:t xml:space="preserve">that is relative to patient management and care activities. </w:t>
            </w:r>
          </w:p>
          <w:p w14:paraId="10744804" w14:textId="77777777" w:rsidR="000527C8" w:rsidRDefault="000527C8" w:rsidP="000527C8">
            <w:pPr>
              <w:pStyle w:val="PlainText"/>
              <w:rPr>
                <w:rFonts w:ascii="Arial" w:hAnsi="Arial" w:cs="Arial"/>
                <w:sz w:val="18"/>
              </w:rPr>
            </w:pPr>
            <w:r w:rsidRPr="000527C8">
              <w:rPr>
                <w:rFonts w:ascii="Arial" w:hAnsi="Arial" w:cs="Arial"/>
                <w:sz w:val="18"/>
              </w:rPr>
              <w:t xml:space="preserve">3. May not be claimed for: a) relaying results for lab or diagnostics. b) arranging follow up care. </w:t>
            </w:r>
          </w:p>
          <w:p w14:paraId="6545DA2F" w14:textId="77777777" w:rsidR="000527C8" w:rsidRDefault="000527C8" w:rsidP="000527C8">
            <w:pPr>
              <w:pStyle w:val="PlainText"/>
              <w:rPr>
                <w:rFonts w:ascii="Arial" w:hAnsi="Arial" w:cs="Arial"/>
                <w:sz w:val="18"/>
              </w:rPr>
            </w:pPr>
            <w:r w:rsidRPr="000527C8">
              <w:rPr>
                <w:rFonts w:ascii="Arial" w:hAnsi="Arial" w:cs="Arial"/>
                <w:sz w:val="18"/>
              </w:rPr>
              <w:t xml:space="preserve">4. Documentation of the communication to be maintained in the patient record. </w:t>
            </w:r>
          </w:p>
          <w:p w14:paraId="3C36B603" w14:textId="57FB7860" w:rsidR="003A7A2F" w:rsidRPr="000527C8" w:rsidRDefault="000527C8" w:rsidP="000527C8">
            <w:pPr>
              <w:pStyle w:val="PlainText"/>
              <w:rPr>
                <w:rFonts w:ascii="Arial" w:hAnsi="Arial" w:cs="Arial"/>
                <w:sz w:val="16"/>
              </w:rPr>
            </w:pPr>
            <w:r w:rsidRPr="000527C8">
              <w:rPr>
                <w:rFonts w:ascii="Arial" w:hAnsi="Arial" w:cs="Arial"/>
                <w:sz w:val="18"/>
              </w:rPr>
              <w:t>5. May be claimed in the pre and post-operative periods.</w:t>
            </w:r>
          </w:p>
        </w:tc>
        <w:tc>
          <w:tcPr>
            <w:tcW w:w="1106" w:type="dxa"/>
          </w:tcPr>
          <w:p w14:paraId="19F16B15" w14:textId="77777777" w:rsidR="003A7A2F" w:rsidRPr="005E6D39" w:rsidRDefault="003A7A2F" w:rsidP="003A7A2F">
            <w:pPr>
              <w:rPr>
                <w:rFonts w:cs="Arial"/>
                <w:sz w:val="20"/>
                <w:szCs w:val="20"/>
              </w:rPr>
            </w:pPr>
            <w:r>
              <w:rPr>
                <w:rFonts w:cs="Arial"/>
                <w:sz w:val="20"/>
                <w:szCs w:val="20"/>
              </w:rPr>
              <w:t>$18.92</w:t>
            </w:r>
          </w:p>
        </w:tc>
      </w:tr>
      <w:tr w:rsidR="000527C8" w:rsidRPr="005E6D39" w14:paraId="4209578A" w14:textId="77777777" w:rsidTr="0083706C">
        <w:tc>
          <w:tcPr>
            <w:tcW w:w="2488" w:type="dxa"/>
          </w:tcPr>
          <w:p w14:paraId="49C31452" w14:textId="701D0CBD" w:rsidR="000527C8" w:rsidRPr="000527C8" w:rsidRDefault="00E83565" w:rsidP="000527C8">
            <w:pPr>
              <w:pStyle w:val="PlainText"/>
              <w:rPr>
                <w:rFonts w:ascii="Arial" w:hAnsi="Arial" w:cs="Arial"/>
                <w:b/>
                <w:sz w:val="22"/>
                <w:szCs w:val="22"/>
              </w:rPr>
            </w:pPr>
            <w:hyperlink r:id="rId16" w:history="1">
              <w:r w:rsidR="000527C8" w:rsidRPr="000527C8">
                <w:rPr>
                  <w:rStyle w:val="Hyperlink"/>
                  <w:rFonts w:ascii="Arial" w:hAnsi="Arial" w:cs="Arial"/>
                  <w:b/>
                  <w:sz w:val="22"/>
                  <w:szCs w:val="22"/>
                </w:rPr>
                <w:t>03.05JC</w:t>
              </w:r>
            </w:hyperlink>
          </w:p>
        </w:tc>
        <w:tc>
          <w:tcPr>
            <w:tcW w:w="6896" w:type="dxa"/>
          </w:tcPr>
          <w:p w14:paraId="5CFE2F62" w14:textId="77777777" w:rsidR="000527C8" w:rsidRDefault="000527C8" w:rsidP="000527C8">
            <w:pPr>
              <w:pStyle w:val="PlainText"/>
              <w:rPr>
                <w:rFonts w:ascii="Arial" w:hAnsi="Arial" w:cs="Arial"/>
                <w:sz w:val="18"/>
                <w:szCs w:val="18"/>
              </w:rPr>
            </w:pPr>
            <w:r w:rsidRPr="009C1312">
              <w:rPr>
                <w:rFonts w:ascii="Arial" w:hAnsi="Arial" w:cs="Arial"/>
                <w:sz w:val="18"/>
                <w:szCs w:val="18"/>
              </w:rPr>
              <w:t xml:space="preserve">Family conference relating to acute care facility in-patient or registered emergency or out-patient, or auxiliary hospital, nursing home patient, AACC or UCC patient, per 15 minutes or major portion thereof </w:t>
            </w:r>
          </w:p>
          <w:p w14:paraId="4C469858" w14:textId="77777777" w:rsidR="000527C8" w:rsidRDefault="000527C8" w:rsidP="000527C8">
            <w:pPr>
              <w:pStyle w:val="PlainText"/>
              <w:rPr>
                <w:rFonts w:ascii="Arial" w:hAnsi="Arial" w:cs="Arial"/>
                <w:sz w:val="18"/>
                <w:szCs w:val="18"/>
              </w:rPr>
            </w:pPr>
            <w:r w:rsidRPr="009C1312">
              <w:rPr>
                <w:rFonts w:ascii="Arial" w:hAnsi="Arial" w:cs="Arial"/>
                <w:sz w:val="18"/>
                <w:szCs w:val="18"/>
              </w:rPr>
              <w:t xml:space="preserve">NOTE:  1. Intended specifically for patients whose condition warrants periodic family conferences. </w:t>
            </w:r>
          </w:p>
          <w:p w14:paraId="5BEF726B" w14:textId="3D6273EE" w:rsidR="000527C8" w:rsidRPr="000527C8" w:rsidRDefault="000527C8" w:rsidP="000527C8">
            <w:pPr>
              <w:pStyle w:val="PlainText"/>
              <w:rPr>
                <w:rFonts w:ascii="Arial" w:hAnsi="Arial" w:cs="Arial"/>
                <w:sz w:val="18"/>
                <w:szCs w:val="18"/>
              </w:rPr>
            </w:pPr>
            <w:r w:rsidRPr="009C1312">
              <w:rPr>
                <w:rFonts w:ascii="Arial" w:hAnsi="Arial" w:cs="Arial"/>
                <w:sz w:val="18"/>
                <w:szCs w:val="18"/>
              </w:rPr>
              <w:t>2. May be claimed to a maximum of 12 calls or 3 hours per year (April 1 to March 31), per patient, per physician.</w:t>
            </w:r>
          </w:p>
        </w:tc>
        <w:tc>
          <w:tcPr>
            <w:tcW w:w="1106" w:type="dxa"/>
          </w:tcPr>
          <w:p w14:paraId="0C054A8A" w14:textId="381329AE" w:rsidR="000527C8" w:rsidRDefault="000527C8" w:rsidP="0038182F">
            <w:pPr>
              <w:rPr>
                <w:rFonts w:cs="Arial"/>
                <w:sz w:val="20"/>
                <w:szCs w:val="20"/>
              </w:rPr>
            </w:pPr>
            <w:r>
              <w:rPr>
                <w:rFonts w:cs="Arial"/>
                <w:sz w:val="20"/>
                <w:szCs w:val="20"/>
              </w:rPr>
              <w:t>$42.47/15 minutes</w:t>
            </w:r>
          </w:p>
        </w:tc>
      </w:tr>
      <w:tr w:rsidR="000527C8" w:rsidRPr="005E6D39" w14:paraId="53A933A2" w14:textId="77777777" w:rsidTr="0083706C">
        <w:tc>
          <w:tcPr>
            <w:tcW w:w="2488" w:type="dxa"/>
          </w:tcPr>
          <w:p w14:paraId="425F45A0" w14:textId="4A152145" w:rsidR="000527C8" w:rsidRPr="000527C8" w:rsidRDefault="00E83565" w:rsidP="000527C8">
            <w:pPr>
              <w:pStyle w:val="PlainText"/>
              <w:rPr>
                <w:rFonts w:ascii="Arial" w:hAnsi="Arial" w:cs="Arial"/>
                <w:b/>
                <w:sz w:val="22"/>
                <w:szCs w:val="22"/>
              </w:rPr>
            </w:pPr>
            <w:hyperlink r:id="rId17" w:history="1">
              <w:r w:rsidR="000527C8" w:rsidRPr="000527C8">
                <w:rPr>
                  <w:rStyle w:val="Hyperlink"/>
                  <w:rFonts w:ascii="Arial" w:hAnsi="Arial" w:cs="Arial"/>
                  <w:b/>
                  <w:sz w:val="22"/>
                  <w:szCs w:val="22"/>
                </w:rPr>
                <w:t>03.05JQ</w:t>
              </w:r>
            </w:hyperlink>
          </w:p>
        </w:tc>
        <w:tc>
          <w:tcPr>
            <w:tcW w:w="6896" w:type="dxa"/>
          </w:tcPr>
          <w:p w14:paraId="63F21EC5" w14:textId="77777777" w:rsidR="000527C8" w:rsidRDefault="000527C8" w:rsidP="000527C8">
            <w:pPr>
              <w:pStyle w:val="PlainText"/>
              <w:rPr>
                <w:rFonts w:ascii="Arial" w:hAnsi="Arial" w:cs="Arial"/>
                <w:sz w:val="18"/>
              </w:rPr>
            </w:pPr>
            <w:r w:rsidRPr="008E2F79">
              <w:rPr>
                <w:rFonts w:ascii="Arial" w:hAnsi="Arial" w:cs="Arial"/>
                <w:sz w:val="18"/>
              </w:rPr>
              <w:t xml:space="preserve">Family conference with relative(s) via telephone in connection with the management of a patient with a psychiatric disorder </w:t>
            </w:r>
          </w:p>
          <w:p w14:paraId="62BA2BD5" w14:textId="77777777" w:rsidR="000527C8" w:rsidRDefault="000527C8" w:rsidP="000527C8">
            <w:pPr>
              <w:pStyle w:val="PlainText"/>
              <w:rPr>
                <w:rFonts w:ascii="Arial" w:hAnsi="Arial" w:cs="Arial"/>
                <w:sz w:val="18"/>
              </w:rPr>
            </w:pPr>
            <w:r w:rsidRPr="008E2F79">
              <w:rPr>
                <w:rFonts w:ascii="Arial" w:hAnsi="Arial" w:cs="Arial"/>
                <w:sz w:val="18"/>
              </w:rPr>
              <w:t xml:space="preserve">NOTE:  1. This service is to be claimed using the Personal Health Number of the patient. </w:t>
            </w:r>
          </w:p>
          <w:p w14:paraId="2FD6EC96" w14:textId="77777777" w:rsidR="000527C8" w:rsidRDefault="000527C8" w:rsidP="000527C8">
            <w:pPr>
              <w:pStyle w:val="PlainText"/>
              <w:rPr>
                <w:rFonts w:ascii="Arial" w:hAnsi="Arial" w:cs="Arial"/>
                <w:sz w:val="18"/>
              </w:rPr>
            </w:pPr>
            <w:r w:rsidRPr="008E2F79">
              <w:rPr>
                <w:rFonts w:ascii="Arial" w:hAnsi="Arial" w:cs="Arial"/>
                <w:sz w:val="18"/>
              </w:rPr>
              <w:t xml:space="preserve">2. May be claimed in situations where: </w:t>
            </w:r>
          </w:p>
          <w:p w14:paraId="052BC103" w14:textId="68E61676" w:rsidR="000527C8" w:rsidRDefault="000527C8" w:rsidP="000527C8">
            <w:pPr>
              <w:pStyle w:val="PlainText"/>
              <w:rPr>
                <w:rFonts w:ascii="Arial" w:hAnsi="Arial" w:cs="Arial"/>
                <w:sz w:val="18"/>
              </w:rPr>
            </w:pPr>
            <w:r>
              <w:rPr>
                <w:rFonts w:ascii="Arial" w:hAnsi="Arial" w:cs="Arial"/>
                <w:sz w:val="18"/>
              </w:rPr>
              <w:lastRenderedPageBreak/>
              <w:t xml:space="preserve">     </w:t>
            </w:r>
            <w:r w:rsidRPr="008E2F79">
              <w:rPr>
                <w:rFonts w:ascii="Arial" w:hAnsi="Arial" w:cs="Arial"/>
                <w:sz w:val="18"/>
              </w:rPr>
              <w:t xml:space="preserve">a) the patient's family is to be notified of a mental health crisis. </w:t>
            </w:r>
          </w:p>
          <w:p w14:paraId="3C4C51AA" w14:textId="77777777" w:rsidR="000527C8" w:rsidRDefault="000527C8" w:rsidP="000527C8">
            <w:pPr>
              <w:pStyle w:val="PlainText"/>
              <w:rPr>
                <w:rFonts w:ascii="Arial" w:hAnsi="Arial" w:cs="Arial"/>
                <w:sz w:val="18"/>
              </w:rPr>
            </w:pPr>
            <w:r>
              <w:rPr>
                <w:rFonts w:ascii="Arial" w:hAnsi="Arial" w:cs="Arial"/>
                <w:sz w:val="18"/>
              </w:rPr>
              <w:t xml:space="preserve">     </w:t>
            </w:r>
            <w:r w:rsidRPr="008E2F79">
              <w:rPr>
                <w:rFonts w:ascii="Arial" w:hAnsi="Arial" w:cs="Arial"/>
                <w:sz w:val="18"/>
              </w:rPr>
              <w:t xml:space="preserve">b) location or mobility factors of family members at the time of the call preclude </w:t>
            </w:r>
          </w:p>
          <w:p w14:paraId="3E900168" w14:textId="56E5BC1A" w:rsidR="000527C8" w:rsidRDefault="000527C8" w:rsidP="000527C8">
            <w:pPr>
              <w:pStyle w:val="PlainText"/>
              <w:rPr>
                <w:rFonts w:ascii="Arial" w:hAnsi="Arial" w:cs="Arial"/>
                <w:sz w:val="18"/>
              </w:rPr>
            </w:pPr>
            <w:r>
              <w:rPr>
                <w:rFonts w:ascii="Arial" w:hAnsi="Arial" w:cs="Arial"/>
                <w:sz w:val="18"/>
              </w:rPr>
              <w:t xml:space="preserve">         </w:t>
            </w:r>
            <w:r w:rsidRPr="000527C8">
              <w:rPr>
                <w:rFonts w:ascii="Arial" w:hAnsi="Arial" w:cs="Arial"/>
                <w:sz w:val="18"/>
              </w:rPr>
              <w:t xml:space="preserve"> </w:t>
            </w:r>
            <w:r w:rsidRPr="008E2F79">
              <w:rPr>
                <w:rFonts w:ascii="Arial" w:hAnsi="Arial" w:cs="Arial"/>
                <w:sz w:val="18"/>
              </w:rPr>
              <w:t>in person meetings.</w:t>
            </w:r>
          </w:p>
          <w:p w14:paraId="060FE891" w14:textId="77777777" w:rsidR="000527C8" w:rsidRDefault="000527C8" w:rsidP="000527C8">
            <w:pPr>
              <w:pStyle w:val="PlainText"/>
              <w:rPr>
                <w:rFonts w:ascii="Arial" w:hAnsi="Arial" w:cs="Arial"/>
                <w:sz w:val="18"/>
              </w:rPr>
            </w:pPr>
            <w:r>
              <w:rPr>
                <w:rFonts w:ascii="Arial" w:hAnsi="Arial" w:cs="Arial"/>
                <w:sz w:val="18"/>
              </w:rPr>
              <w:t xml:space="preserve">     </w:t>
            </w:r>
            <w:r w:rsidRPr="008E2F79">
              <w:rPr>
                <w:rFonts w:ascii="Arial" w:hAnsi="Arial" w:cs="Arial"/>
                <w:sz w:val="18"/>
              </w:rPr>
              <w:t>c) timely communication with family members is essential to patient care and/or</w:t>
            </w:r>
          </w:p>
          <w:p w14:paraId="5DEE6858" w14:textId="2C51A078" w:rsidR="000527C8" w:rsidRDefault="000527C8" w:rsidP="000527C8">
            <w:pPr>
              <w:pStyle w:val="PlainText"/>
              <w:rPr>
                <w:rFonts w:ascii="Arial" w:hAnsi="Arial" w:cs="Arial"/>
                <w:sz w:val="18"/>
              </w:rPr>
            </w:pPr>
            <w:r>
              <w:rPr>
                <w:rFonts w:ascii="Arial" w:hAnsi="Arial" w:cs="Arial"/>
                <w:sz w:val="18"/>
              </w:rPr>
              <w:t xml:space="preserve">         </w:t>
            </w:r>
            <w:r w:rsidRPr="000527C8">
              <w:rPr>
                <w:rFonts w:ascii="Arial" w:hAnsi="Arial" w:cs="Arial"/>
                <w:sz w:val="18"/>
              </w:rPr>
              <w:t xml:space="preserve"> </w:t>
            </w:r>
            <w:r w:rsidRPr="008E2F79">
              <w:rPr>
                <w:rFonts w:ascii="Arial" w:hAnsi="Arial" w:cs="Arial"/>
                <w:sz w:val="18"/>
              </w:rPr>
              <w:t xml:space="preserve">management. </w:t>
            </w:r>
          </w:p>
          <w:p w14:paraId="775F1DEB" w14:textId="77777777" w:rsidR="000527C8" w:rsidRDefault="000527C8" w:rsidP="000527C8">
            <w:pPr>
              <w:pStyle w:val="PlainText"/>
              <w:rPr>
                <w:rFonts w:ascii="Arial" w:hAnsi="Arial" w:cs="Arial"/>
                <w:sz w:val="18"/>
              </w:rPr>
            </w:pPr>
            <w:r>
              <w:rPr>
                <w:rFonts w:ascii="Arial" w:hAnsi="Arial" w:cs="Arial"/>
                <w:sz w:val="18"/>
              </w:rPr>
              <w:t xml:space="preserve">     </w:t>
            </w:r>
            <w:r w:rsidRPr="008E2F79">
              <w:rPr>
                <w:rFonts w:ascii="Arial" w:hAnsi="Arial" w:cs="Arial"/>
                <w:sz w:val="18"/>
              </w:rPr>
              <w:t xml:space="preserve">d) communication about a patient's condition is required to gather collateral </w:t>
            </w:r>
          </w:p>
          <w:p w14:paraId="2CC93A0B" w14:textId="170BA993" w:rsidR="000527C8" w:rsidRDefault="000527C8" w:rsidP="000527C8">
            <w:pPr>
              <w:pStyle w:val="PlainText"/>
              <w:rPr>
                <w:rFonts w:ascii="Arial" w:hAnsi="Arial" w:cs="Arial"/>
                <w:sz w:val="18"/>
              </w:rPr>
            </w:pPr>
            <w:r>
              <w:rPr>
                <w:rFonts w:ascii="Arial" w:hAnsi="Arial" w:cs="Arial"/>
                <w:sz w:val="18"/>
              </w:rPr>
              <w:t xml:space="preserve">         </w:t>
            </w:r>
            <w:r w:rsidRPr="000527C8">
              <w:rPr>
                <w:rFonts w:ascii="Arial" w:hAnsi="Arial" w:cs="Arial"/>
                <w:sz w:val="18"/>
              </w:rPr>
              <w:t xml:space="preserve"> </w:t>
            </w:r>
            <w:r w:rsidRPr="008E2F79">
              <w:rPr>
                <w:rFonts w:ascii="Arial" w:hAnsi="Arial" w:cs="Arial"/>
                <w:sz w:val="18"/>
              </w:rPr>
              <w:t xml:space="preserve">information that is relative to the patient management and care activities. </w:t>
            </w:r>
          </w:p>
          <w:p w14:paraId="1518DC0E" w14:textId="77777777" w:rsidR="000527C8" w:rsidRDefault="000527C8" w:rsidP="000527C8">
            <w:pPr>
              <w:pStyle w:val="PlainText"/>
              <w:rPr>
                <w:rFonts w:ascii="Arial" w:hAnsi="Arial" w:cs="Arial"/>
                <w:sz w:val="18"/>
              </w:rPr>
            </w:pPr>
            <w:r w:rsidRPr="008E2F79">
              <w:rPr>
                <w:rFonts w:ascii="Arial" w:hAnsi="Arial" w:cs="Arial"/>
                <w:sz w:val="18"/>
              </w:rPr>
              <w:t xml:space="preserve">3. May not be claimed for: </w:t>
            </w:r>
          </w:p>
          <w:p w14:paraId="34811288" w14:textId="2F07F713" w:rsidR="000527C8" w:rsidRDefault="000527C8" w:rsidP="000527C8">
            <w:pPr>
              <w:pStyle w:val="PlainText"/>
              <w:rPr>
                <w:rFonts w:ascii="Arial" w:hAnsi="Arial" w:cs="Arial"/>
                <w:sz w:val="18"/>
              </w:rPr>
            </w:pPr>
            <w:r>
              <w:rPr>
                <w:rFonts w:ascii="Arial" w:hAnsi="Arial" w:cs="Arial"/>
                <w:sz w:val="18"/>
              </w:rPr>
              <w:t xml:space="preserve">     </w:t>
            </w:r>
            <w:r w:rsidRPr="008E2F79">
              <w:rPr>
                <w:rFonts w:ascii="Arial" w:hAnsi="Arial" w:cs="Arial"/>
                <w:sz w:val="18"/>
              </w:rPr>
              <w:t xml:space="preserve">a) relaying results for lab or diagnostics. </w:t>
            </w:r>
          </w:p>
          <w:p w14:paraId="69774ADB" w14:textId="5F9E54F0" w:rsidR="000527C8" w:rsidRDefault="000527C8" w:rsidP="000527C8">
            <w:pPr>
              <w:pStyle w:val="PlainText"/>
              <w:rPr>
                <w:rFonts w:ascii="Arial" w:hAnsi="Arial" w:cs="Arial"/>
                <w:sz w:val="18"/>
              </w:rPr>
            </w:pPr>
            <w:r>
              <w:rPr>
                <w:rFonts w:ascii="Arial" w:hAnsi="Arial" w:cs="Arial"/>
                <w:sz w:val="18"/>
              </w:rPr>
              <w:t xml:space="preserve">     </w:t>
            </w:r>
            <w:r w:rsidRPr="008E2F79">
              <w:rPr>
                <w:rFonts w:ascii="Arial" w:hAnsi="Arial" w:cs="Arial"/>
                <w:sz w:val="18"/>
              </w:rPr>
              <w:t>b) gathering information that is in relation to the development of a Community</w:t>
            </w:r>
          </w:p>
          <w:p w14:paraId="55F65A48" w14:textId="5C65656D" w:rsidR="000527C8" w:rsidRDefault="000527C8" w:rsidP="000527C8">
            <w:pPr>
              <w:pStyle w:val="PlainText"/>
              <w:rPr>
                <w:rFonts w:ascii="Arial" w:hAnsi="Arial" w:cs="Arial"/>
                <w:sz w:val="18"/>
              </w:rPr>
            </w:pPr>
            <w:r>
              <w:rPr>
                <w:rFonts w:ascii="Arial" w:hAnsi="Arial" w:cs="Arial"/>
                <w:sz w:val="18"/>
              </w:rPr>
              <w:t xml:space="preserve">         </w:t>
            </w:r>
            <w:r w:rsidRPr="000527C8">
              <w:rPr>
                <w:rFonts w:ascii="Arial" w:hAnsi="Arial" w:cs="Arial"/>
                <w:sz w:val="18"/>
              </w:rPr>
              <w:t xml:space="preserve"> </w:t>
            </w:r>
            <w:r w:rsidRPr="008E2F79">
              <w:rPr>
                <w:rFonts w:ascii="Arial" w:hAnsi="Arial" w:cs="Arial"/>
                <w:sz w:val="18"/>
              </w:rPr>
              <w:t xml:space="preserve">Treatment Order (CTO). </w:t>
            </w:r>
          </w:p>
          <w:p w14:paraId="7D270349" w14:textId="582D6E80" w:rsidR="000527C8" w:rsidRDefault="000527C8" w:rsidP="000527C8">
            <w:pPr>
              <w:pStyle w:val="PlainText"/>
              <w:rPr>
                <w:rFonts w:ascii="Arial" w:hAnsi="Arial" w:cs="Arial"/>
                <w:sz w:val="18"/>
              </w:rPr>
            </w:pPr>
            <w:r>
              <w:rPr>
                <w:rFonts w:ascii="Arial" w:hAnsi="Arial" w:cs="Arial"/>
                <w:sz w:val="18"/>
              </w:rPr>
              <w:t xml:space="preserve">     </w:t>
            </w:r>
            <w:r w:rsidRPr="008E2F79">
              <w:rPr>
                <w:rFonts w:ascii="Arial" w:hAnsi="Arial" w:cs="Arial"/>
                <w:sz w:val="18"/>
              </w:rPr>
              <w:t xml:space="preserve">c) arranging for follow-up care. </w:t>
            </w:r>
          </w:p>
          <w:p w14:paraId="4AE93D45" w14:textId="77777777" w:rsidR="000527C8" w:rsidRDefault="000527C8" w:rsidP="000527C8">
            <w:pPr>
              <w:pStyle w:val="PlainText"/>
              <w:rPr>
                <w:rFonts w:ascii="Arial" w:hAnsi="Arial" w:cs="Arial"/>
                <w:sz w:val="18"/>
              </w:rPr>
            </w:pPr>
            <w:r w:rsidRPr="008E2F79">
              <w:rPr>
                <w:rFonts w:ascii="Arial" w:hAnsi="Arial" w:cs="Arial"/>
                <w:sz w:val="18"/>
              </w:rPr>
              <w:t xml:space="preserve">4. Documentation of the communication and relationship of family member to the patient must be recorded in the patient record. </w:t>
            </w:r>
          </w:p>
          <w:p w14:paraId="5BFEE257" w14:textId="5CB5F0F1" w:rsidR="000527C8" w:rsidRPr="009C1312" w:rsidRDefault="000527C8" w:rsidP="000527C8">
            <w:pPr>
              <w:pStyle w:val="PlainText"/>
              <w:rPr>
                <w:rFonts w:ascii="Arial" w:hAnsi="Arial" w:cs="Arial"/>
                <w:sz w:val="18"/>
              </w:rPr>
            </w:pPr>
            <w:r w:rsidRPr="008E2F79">
              <w:rPr>
                <w:rFonts w:ascii="Arial" w:hAnsi="Arial" w:cs="Arial"/>
                <w:sz w:val="18"/>
              </w:rPr>
              <w:t>5. May be claimed in addition to visits or other services provided on the same day, by the same physician.</w:t>
            </w:r>
          </w:p>
        </w:tc>
        <w:tc>
          <w:tcPr>
            <w:tcW w:w="1106" w:type="dxa"/>
          </w:tcPr>
          <w:p w14:paraId="5C3E0DED" w14:textId="55883A98" w:rsidR="000527C8" w:rsidRDefault="000527C8" w:rsidP="0038182F">
            <w:pPr>
              <w:rPr>
                <w:rFonts w:cs="Arial"/>
                <w:sz w:val="20"/>
                <w:szCs w:val="20"/>
              </w:rPr>
            </w:pPr>
            <w:r>
              <w:rPr>
                <w:rFonts w:cs="Arial"/>
                <w:sz w:val="20"/>
                <w:szCs w:val="20"/>
              </w:rPr>
              <w:lastRenderedPageBreak/>
              <w:t>$51.71</w:t>
            </w:r>
          </w:p>
        </w:tc>
      </w:tr>
      <w:tr w:rsidR="0038182F" w:rsidRPr="005E6D39" w14:paraId="3B2EC612" w14:textId="77777777" w:rsidTr="0083706C">
        <w:tc>
          <w:tcPr>
            <w:tcW w:w="2488" w:type="dxa"/>
          </w:tcPr>
          <w:p w14:paraId="2DE88701" w14:textId="56CDF59A" w:rsidR="0038182F" w:rsidRPr="000527C8" w:rsidRDefault="00E83565" w:rsidP="000527C8">
            <w:pPr>
              <w:pStyle w:val="PlainText"/>
              <w:rPr>
                <w:rFonts w:ascii="Arial" w:hAnsi="Arial" w:cs="Arial"/>
                <w:b/>
                <w:sz w:val="22"/>
                <w:szCs w:val="22"/>
              </w:rPr>
            </w:pPr>
            <w:hyperlink r:id="rId18" w:history="1">
              <w:r w:rsidR="000527C8" w:rsidRPr="000527C8">
                <w:rPr>
                  <w:rStyle w:val="Hyperlink"/>
                  <w:rFonts w:ascii="Arial" w:hAnsi="Arial" w:cs="Arial"/>
                  <w:b/>
                  <w:sz w:val="22"/>
                  <w:szCs w:val="22"/>
                </w:rPr>
                <w:t>03.01NM</w:t>
              </w:r>
            </w:hyperlink>
          </w:p>
        </w:tc>
        <w:tc>
          <w:tcPr>
            <w:tcW w:w="6896" w:type="dxa"/>
          </w:tcPr>
          <w:p w14:paraId="76BE9432" w14:textId="77777777" w:rsidR="000527C8" w:rsidRDefault="000527C8" w:rsidP="000527C8">
            <w:pPr>
              <w:pStyle w:val="PlainText"/>
              <w:rPr>
                <w:rFonts w:ascii="Arial" w:hAnsi="Arial" w:cs="Arial"/>
                <w:sz w:val="18"/>
              </w:rPr>
            </w:pPr>
            <w:r w:rsidRPr="009C1312">
              <w:rPr>
                <w:rFonts w:ascii="Arial" w:hAnsi="Arial" w:cs="Arial"/>
                <w:sz w:val="18"/>
              </w:rPr>
              <w:t xml:space="preserve">Patient care advice to a pharmacist provided via telephone or other telecommunication methods in relation to the care and treatment of a patient </w:t>
            </w:r>
          </w:p>
          <w:p w14:paraId="43C92C24" w14:textId="38AD9875" w:rsidR="000527C8" w:rsidRPr="009C1312" w:rsidRDefault="000527C8" w:rsidP="000527C8">
            <w:pPr>
              <w:pStyle w:val="PlainText"/>
              <w:rPr>
                <w:rFonts w:ascii="Arial" w:hAnsi="Arial" w:cs="Arial"/>
                <w:sz w:val="18"/>
              </w:rPr>
            </w:pPr>
            <w:r w:rsidRPr="009C1312">
              <w:rPr>
                <w:rFonts w:ascii="Arial" w:hAnsi="Arial" w:cs="Arial"/>
                <w:sz w:val="18"/>
              </w:rPr>
              <w:t>NOTE:  1. It is expected that the purpose of the communication will be to seek the advice/opinion or to inform a physician when changes</w:t>
            </w:r>
          </w:p>
          <w:p w14:paraId="5688C8EF" w14:textId="77777777" w:rsidR="000527C8" w:rsidRDefault="000527C8" w:rsidP="000527C8">
            <w:pPr>
              <w:pStyle w:val="PlainText"/>
              <w:rPr>
                <w:rFonts w:ascii="Arial" w:hAnsi="Arial" w:cs="Arial"/>
                <w:sz w:val="18"/>
              </w:rPr>
            </w:pPr>
            <w:r w:rsidRPr="009C1312">
              <w:rPr>
                <w:rFonts w:ascii="Arial" w:hAnsi="Arial" w:cs="Arial"/>
                <w:sz w:val="18"/>
              </w:rPr>
              <w:t xml:space="preserve">such as but not limited to prescription adaptations, pharmacist initiated prescriptions, care plans or medication reviews have occurred. </w:t>
            </w:r>
          </w:p>
          <w:p w14:paraId="5984BC48" w14:textId="77777777" w:rsidR="000527C8" w:rsidRDefault="000527C8" w:rsidP="000527C8">
            <w:pPr>
              <w:pStyle w:val="PlainText"/>
              <w:rPr>
                <w:rFonts w:ascii="Arial" w:hAnsi="Arial" w:cs="Arial"/>
                <w:sz w:val="18"/>
              </w:rPr>
            </w:pPr>
            <w:r w:rsidRPr="009C1312">
              <w:rPr>
                <w:rFonts w:ascii="Arial" w:hAnsi="Arial" w:cs="Arial"/>
                <w:sz w:val="18"/>
              </w:rPr>
              <w:t xml:space="preserve">2. May only be claimed when the pharmacist has initiated the communication and the physician has provided an opinion or recommendation for patient treatment. </w:t>
            </w:r>
          </w:p>
          <w:p w14:paraId="04EA0E2E" w14:textId="77777777" w:rsidR="000527C8" w:rsidRDefault="000527C8" w:rsidP="000527C8">
            <w:pPr>
              <w:pStyle w:val="PlainText"/>
              <w:rPr>
                <w:rFonts w:ascii="Arial" w:hAnsi="Arial" w:cs="Arial"/>
                <w:sz w:val="18"/>
              </w:rPr>
            </w:pPr>
            <w:r w:rsidRPr="009C1312">
              <w:rPr>
                <w:rFonts w:ascii="Arial" w:hAnsi="Arial" w:cs="Arial"/>
                <w:sz w:val="18"/>
              </w:rPr>
              <w:t xml:space="preserve">3. May not be claimed where the primary purpose of the communication is to clarify, decipher or interpret the physician's handwriting and/or written instructions. </w:t>
            </w:r>
          </w:p>
          <w:p w14:paraId="70FA7A58" w14:textId="77777777" w:rsidR="000527C8" w:rsidRDefault="000527C8" w:rsidP="000527C8">
            <w:pPr>
              <w:pStyle w:val="PlainText"/>
              <w:rPr>
                <w:rFonts w:ascii="Arial" w:hAnsi="Arial" w:cs="Arial"/>
                <w:sz w:val="18"/>
              </w:rPr>
            </w:pPr>
            <w:r w:rsidRPr="009C1312">
              <w:rPr>
                <w:rFonts w:ascii="Arial" w:hAnsi="Arial" w:cs="Arial"/>
                <w:sz w:val="18"/>
              </w:rPr>
              <w:t xml:space="preserve">4. May not be claimed for the authorization of repeat prescriptions for which long-term repeats would more properly have been authorized at the time of writing the initial prescription. </w:t>
            </w:r>
          </w:p>
          <w:p w14:paraId="7B1F9E6C" w14:textId="77777777" w:rsidR="000527C8" w:rsidRDefault="000527C8" w:rsidP="000527C8">
            <w:pPr>
              <w:pStyle w:val="PlainText"/>
              <w:rPr>
                <w:rFonts w:ascii="Arial" w:hAnsi="Arial" w:cs="Arial"/>
                <w:sz w:val="18"/>
              </w:rPr>
            </w:pPr>
            <w:r w:rsidRPr="009C1312">
              <w:rPr>
                <w:rFonts w:ascii="Arial" w:hAnsi="Arial" w:cs="Arial"/>
                <w:sz w:val="18"/>
              </w:rPr>
              <w:t xml:space="preserve">5. May not be claimed for instances where a physician directs a patient to request the pharmacist to contact the physician. </w:t>
            </w:r>
          </w:p>
          <w:p w14:paraId="30754CA3" w14:textId="77777777" w:rsidR="000527C8" w:rsidRDefault="000527C8" w:rsidP="000527C8">
            <w:pPr>
              <w:pStyle w:val="PlainText"/>
              <w:rPr>
                <w:rFonts w:ascii="Arial" w:hAnsi="Arial" w:cs="Arial"/>
                <w:sz w:val="18"/>
              </w:rPr>
            </w:pPr>
            <w:r w:rsidRPr="009C1312">
              <w:rPr>
                <w:rFonts w:ascii="Arial" w:hAnsi="Arial" w:cs="Arial"/>
                <w:sz w:val="18"/>
              </w:rPr>
              <w:t xml:space="preserve">6. May not be claimed for patients in an active treatment, auxiliary, or nursing home facility. </w:t>
            </w:r>
          </w:p>
          <w:p w14:paraId="595581E3" w14:textId="77777777" w:rsidR="000527C8" w:rsidRDefault="000527C8" w:rsidP="000527C8">
            <w:pPr>
              <w:pStyle w:val="PlainText"/>
              <w:rPr>
                <w:rFonts w:ascii="Arial" w:hAnsi="Arial" w:cs="Arial"/>
                <w:sz w:val="18"/>
              </w:rPr>
            </w:pPr>
            <w:r w:rsidRPr="009C1312">
              <w:rPr>
                <w:rFonts w:ascii="Arial" w:hAnsi="Arial" w:cs="Arial"/>
                <w:sz w:val="18"/>
              </w:rPr>
              <w:t xml:space="preserve">7. May not be claimed when a physician proxy, e.g. nurse or clerk, provides advice to the pharmacist. </w:t>
            </w:r>
          </w:p>
          <w:p w14:paraId="73FF4AAB" w14:textId="77777777" w:rsidR="000527C8" w:rsidRDefault="000527C8" w:rsidP="000527C8">
            <w:pPr>
              <w:pStyle w:val="PlainText"/>
              <w:rPr>
                <w:rFonts w:ascii="Arial" w:hAnsi="Arial" w:cs="Arial"/>
                <w:sz w:val="18"/>
              </w:rPr>
            </w:pPr>
            <w:r w:rsidRPr="009C1312">
              <w:rPr>
                <w:rFonts w:ascii="Arial" w:hAnsi="Arial" w:cs="Arial"/>
                <w:sz w:val="18"/>
              </w:rPr>
              <w:t xml:space="preserve">8. A maximum of one (1) communication per patient per day may be claimed, regardless of the number of issues or concerns discussed with the pharmacist. </w:t>
            </w:r>
          </w:p>
          <w:p w14:paraId="755F2E35" w14:textId="77777777" w:rsidR="000527C8" w:rsidRDefault="000527C8" w:rsidP="000527C8">
            <w:pPr>
              <w:pStyle w:val="PlainText"/>
              <w:rPr>
                <w:rFonts w:ascii="Arial" w:hAnsi="Arial" w:cs="Arial"/>
                <w:sz w:val="18"/>
              </w:rPr>
            </w:pPr>
            <w:r w:rsidRPr="009C1312">
              <w:rPr>
                <w:rFonts w:ascii="Arial" w:hAnsi="Arial" w:cs="Arial"/>
                <w:sz w:val="18"/>
              </w:rPr>
              <w:t xml:space="preserve">9. Where more than one patient is discussed in a single communication, a claim may be submitted with respect to each patient discussed. </w:t>
            </w:r>
          </w:p>
          <w:p w14:paraId="494E4690" w14:textId="77777777" w:rsidR="000527C8" w:rsidRDefault="000527C8" w:rsidP="000527C8">
            <w:pPr>
              <w:pStyle w:val="PlainText"/>
              <w:rPr>
                <w:rFonts w:ascii="Arial" w:hAnsi="Arial" w:cs="Arial"/>
                <w:sz w:val="18"/>
              </w:rPr>
            </w:pPr>
            <w:r w:rsidRPr="009C1312">
              <w:rPr>
                <w:rFonts w:ascii="Arial" w:hAnsi="Arial" w:cs="Arial"/>
                <w:sz w:val="18"/>
              </w:rPr>
              <w:t>10. May be claimed in addition to visits or other services provided on the same day, by the same physician.</w:t>
            </w:r>
          </w:p>
          <w:p w14:paraId="3CB982CB" w14:textId="77777777" w:rsidR="000527C8" w:rsidRDefault="000527C8" w:rsidP="000527C8">
            <w:pPr>
              <w:pStyle w:val="PlainText"/>
              <w:rPr>
                <w:rFonts w:ascii="Arial" w:hAnsi="Arial" w:cs="Arial"/>
                <w:sz w:val="18"/>
              </w:rPr>
            </w:pPr>
            <w:r w:rsidRPr="009C1312">
              <w:rPr>
                <w:rFonts w:ascii="Arial" w:hAnsi="Arial" w:cs="Arial"/>
                <w:sz w:val="18"/>
              </w:rPr>
              <w:t xml:space="preserve">11. To be claimed using the Personal Health Number of the patient. </w:t>
            </w:r>
          </w:p>
          <w:p w14:paraId="4C8FF9D2" w14:textId="03CF10CB" w:rsidR="0038182F" w:rsidRPr="000527C8" w:rsidRDefault="000527C8" w:rsidP="000527C8">
            <w:pPr>
              <w:pStyle w:val="PlainText"/>
              <w:rPr>
                <w:rFonts w:ascii="Arial" w:hAnsi="Arial" w:cs="Arial"/>
                <w:sz w:val="18"/>
              </w:rPr>
            </w:pPr>
            <w:r w:rsidRPr="009C1312">
              <w:rPr>
                <w:rFonts w:ascii="Arial" w:hAnsi="Arial" w:cs="Arial"/>
                <w:sz w:val="18"/>
              </w:rPr>
              <w:t>12. Documentation of the communication must be recorded in their respective records.</w:t>
            </w:r>
          </w:p>
        </w:tc>
        <w:tc>
          <w:tcPr>
            <w:tcW w:w="1106" w:type="dxa"/>
          </w:tcPr>
          <w:p w14:paraId="7BD846D3" w14:textId="44E02075" w:rsidR="0038182F" w:rsidRDefault="000527C8" w:rsidP="0038182F">
            <w:pPr>
              <w:rPr>
                <w:rFonts w:cs="Arial"/>
                <w:sz w:val="20"/>
                <w:szCs w:val="20"/>
              </w:rPr>
            </w:pPr>
            <w:r>
              <w:rPr>
                <w:rFonts w:cs="Arial"/>
                <w:sz w:val="20"/>
                <w:szCs w:val="20"/>
              </w:rPr>
              <w:t>$17.43</w:t>
            </w:r>
          </w:p>
          <w:p w14:paraId="4A6FB991" w14:textId="3DF85B6D" w:rsidR="000527C8" w:rsidRPr="005E6D39" w:rsidRDefault="000527C8" w:rsidP="0038182F">
            <w:pPr>
              <w:rPr>
                <w:rFonts w:cs="Arial"/>
                <w:sz w:val="20"/>
                <w:szCs w:val="20"/>
              </w:rPr>
            </w:pPr>
          </w:p>
        </w:tc>
      </w:tr>
    </w:tbl>
    <w:p w14:paraId="0C716494" w14:textId="4B895375" w:rsidR="00FD6D93" w:rsidRDefault="00FD6D93" w:rsidP="00FD6D93">
      <w:pPr>
        <w:rPr>
          <w:rFonts w:cs="Arial"/>
          <w:sz w:val="20"/>
          <w:szCs w:val="20"/>
        </w:rPr>
      </w:pPr>
    </w:p>
    <w:p w14:paraId="6E53836C" w14:textId="0FA015A1" w:rsidR="000527C8" w:rsidRPr="005E6D39" w:rsidRDefault="00715B18" w:rsidP="00FD6D93">
      <w:pPr>
        <w:rPr>
          <w:rFonts w:cs="Arial"/>
          <w:sz w:val="20"/>
          <w:szCs w:val="20"/>
        </w:rPr>
      </w:pPr>
      <w:r>
        <w:rPr>
          <w:rFonts w:cs="Arial"/>
          <w:sz w:val="20"/>
          <w:szCs w:val="20"/>
        </w:rPr>
        <w:t>If y</w:t>
      </w:r>
      <w:r w:rsidR="00BD4F97">
        <w:rPr>
          <w:rFonts w:cs="Arial"/>
          <w:sz w:val="20"/>
          <w:szCs w:val="20"/>
        </w:rPr>
        <w:t xml:space="preserve">ou have any questions about billing please contact </w:t>
      </w:r>
      <w:hyperlink r:id="rId19" w:history="1">
        <w:r w:rsidR="00BD4F97" w:rsidRPr="00E103B9">
          <w:rPr>
            <w:rStyle w:val="Hyperlink"/>
            <w:rFonts w:cs="Arial"/>
            <w:sz w:val="20"/>
            <w:szCs w:val="20"/>
          </w:rPr>
          <w:t>billingadvice@albertadoctors.org</w:t>
        </w:r>
      </w:hyperlink>
      <w:r w:rsidR="00BD4F97">
        <w:rPr>
          <w:rFonts w:cs="Arial"/>
          <w:sz w:val="20"/>
          <w:szCs w:val="20"/>
        </w:rPr>
        <w:t xml:space="preserve"> </w:t>
      </w:r>
    </w:p>
    <w:sectPr w:rsidR="000527C8" w:rsidRPr="005E6D3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ED8B4" w14:textId="77777777" w:rsidR="00E83565" w:rsidRDefault="00E83565" w:rsidP="00800A55">
      <w:pPr>
        <w:spacing w:after="0" w:line="240" w:lineRule="auto"/>
      </w:pPr>
      <w:r>
        <w:separator/>
      </w:r>
    </w:p>
  </w:endnote>
  <w:endnote w:type="continuationSeparator" w:id="0">
    <w:p w14:paraId="6433267B" w14:textId="77777777" w:rsidR="00E83565" w:rsidRDefault="00E83565" w:rsidP="0080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65AE" w14:textId="77777777" w:rsidR="00E30E51" w:rsidRDefault="00E30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25F1" w14:textId="61506E4D" w:rsidR="000527C8" w:rsidRPr="000527C8" w:rsidRDefault="000527C8" w:rsidP="000527C8">
    <w:pPr>
      <w:tabs>
        <w:tab w:val="center" w:pos="4680"/>
        <w:tab w:val="right" w:pos="9360"/>
      </w:tabs>
      <w:spacing w:after="0" w:line="240" w:lineRule="auto"/>
    </w:pPr>
    <w:r w:rsidRPr="000527C8">
      <w:rPr>
        <w:rFonts w:ascii="Helvetica" w:hAnsi="Helvetica"/>
        <w:color w:val="909189"/>
        <w:sz w:val="17"/>
        <w:szCs w:val="17"/>
        <w:shd w:val="clear" w:color="auto" w:fill="FFFFFF"/>
      </w:rPr>
      <w:t xml:space="preserve">Disclaimer: this toolbox has been produced by the AMA solely as a convenient reference and the official Government of Alberta statutes and regulations must be consulted for all purposes of interpreting and applying the law. </w:t>
    </w:r>
    <w:r w:rsidR="00621FAC">
      <w:rPr>
        <w:rFonts w:ascii="Helvetica" w:hAnsi="Helvetica"/>
        <w:color w:val="909189"/>
        <w:sz w:val="17"/>
        <w:szCs w:val="17"/>
        <w:shd w:val="clear" w:color="auto" w:fill="FFFFFF"/>
      </w:rPr>
      <w:t xml:space="preserve"> </w:t>
    </w:r>
    <w:hyperlink r:id="rId1" w:history="1">
      <w:r w:rsidR="00621FAC" w:rsidRPr="001B6A10">
        <w:rPr>
          <w:rStyle w:val="Hyperlink"/>
          <w:rFonts w:ascii="Helvetica" w:hAnsi="Helvetica"/>
          <w:sz w:val="17"/>
          <w:szCs w:val="17"/>
          <w:shd w:val="clear" w:color="auto" w:fill="FFFFFF"/>
        </w:rPr>
        <w:t>https://www.alberta.ca/fees-health-professionals.aspx</w:t>
      </w:r>
    </w:hyperlink>
    <w:r w:rsidR="00621FAC">
      <w:rPr>
        <w:rFonts w:ascii="Helvetica" w:hAnsi="Helvetica"/>
        <w:color w:val="909189"/>
        <w:sz w:val="17"/>
        <w:szCs w:val="17"/>
        <w:shd w:val="clear" w:color="auto" w:fill="FFFFFF"/>
      </w:rPr>
      <w:t xml:space="preserve"> </w:t>
    </w:r>
  </w:p>
  <w:p w14:paraId="150388D9" w14:textId="77777777" w:rsidR="0038182F" w:rsidRDefault="00381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7B84" w14:textId="77777777" w:rsidR="00E30E51" w:rsidRDefault="00E30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B896" w14:textId="77777777" w:rsidR="00E83565" w:rsidRDefault="00E83565" w:rsidP="00800A55">
      <w:pPr>
        <w:spacing w:after="0" w:line="240" w:lineRule="auto"/>
      </w:pPr>
      <w:r>
        <w:separator/>
      </w:r>
    </w:p>
  </w:footnote>
  <w:footnote w:type="continuationSeparator" w:id="0">
    <w:p w14:paraId="5850A46A" w14:textId="77777777" w:rsidR="00E83565" w:rsidRDefault="00E83565" w:rsidP="00800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C2A0" w14:textId="77777777" w:rsidR="00E30E51" w:rsidRDefault="00E30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D9DB" w14:textId="500F3DB4" w:rsidR="00800A55" w:rsidRPr="00E30E51" w:rsidRDefault="00800A55">
    <w:pPr>
      <w:pStyle w:val="Header"/>
      <w:rPr>
        <w:sz w:val="18"/>
        <w:szCs w:val="18"/>
      </w:rPr>
    </w:pPr>
    <w:r>
      <w:rPr>
        <w:b/>
        <w:noProof/>
      </w:rPr>
      <w:drawing>
        <wp:inline distT="0" distB="0" distL="0" distR="0" wp14:anchorId="75191056" wp14:editId="5D94A475">
          <wp:extent cx="2204074" cy="4824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_SGP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2353" cy="486468"/>
                  </a:xfrm>
                  <a:prstGeom prst="rect">
                    <a:avLst/>
                  </a:prstGeom>
                </pic:spPr>
              </pic:pic>
            </a:graphicData>
          </a:graphic>
        </wp:inline>
      </w:drawing>
    </w:r>
    <w:r w:rsidR="00E30E51">
      <w:tab/>
    </w:r>
    <w:r w:rsidR="00E30E51">
      <w:tab/>
    </w:r>
    <w:r w:rsidR="00E30E51">
      <w:rPr>
        <w:sz w:val="18"/>
        <w:szCs w:val="18"/>
      </w:rPr>
      <w:t>February 2019</w:t>
    </w:r>
  </w:p>
  <w:p w14:paraId="5C9F63D9" w14:textId="77777777" w:rsidR="00800A55" w:rsidRDefault="00800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54ED" w14:textId="77777777" w:rsidR="00E30E51" w:rsidRDefault="00E30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408"/>
    <w:multiLevelType w:val="hybridMultilevel"/>
    <w:tmpl w:val="EB5856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DE215E0"/>
    <w:multiLevelType w:val="hybridMultilevel"/>
    <w:tmpl w:val="B3EAB77C"/>
    <w:lvl w:ilvl="0" w:tplc="10090001">
      <w:start w:val="1"/>
      <w:numFmt w:val="bullet"/>
      <w:lvlText w:val=""/>
      <w:lvlJc w:val="left"/>
      <w:pPr>
        <w:ind w:left="357" w:hanging="360"/>
      </w:pPr>
      <w:rPr>
        <w:rFonts w:ascii="Symbol" w:hAnsi="Symbol" w:hint="default"/>
      </w:rPr>
    </w:lvl>
    <w:lvl w:ilvl="1" w:tplc="296C7C12">
      <w:start w:val="1"/>
      <w:numFmt w:val="bullet"/>
      <w:lvlText w:val="o"/>
      <w:lvlJc w:val="left"/>
      <w:pPr>
        <w:ind w:left="737" w:hanging="170"/>
      </w:pPr>
      <w:rPr>
        <w:rFonts w:ascii="Courier New" w:hAnsi="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2" w15:restartNumberingAfterBreak="0">
    <w:nsid w:val="22B703AF"/>
    <w:multiLevelType w:val="hybridMultilevel"/>
    <w:tmpl w:val="06DA2F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BF33257"/>
    <w:multiLevelType w:val="hybridMultilevel"/>
    <w:tmpl w:val="EF52B29C"/>
    <w:lvl w:ilvl="0" w:tplc="04090005">
      <w:start w:val="1"/>
      <w:numFmt w:val="bullet"/>
      <w:lvlText w:val=""/>
      <w:lvlJc w:val="left"/>
      <w:pPr>
        <w:ind w:left="501" w:hanging="361"/>
      </w:pPr>
      <w:rPr>
        <w:rFonts w:ascii="Wingdings" w:hAnsi="Wingdings" w:hint="default"/>
        <w:w w:val="100"/>
        <w:lang w:val="en-US" w:eastAsia="en-US" w:bidi="en-US"/>
      </w:rPr>
    </w:lvl>
    <w:lvl w:ilvl="1" w:tplc="30E65ED2">
      <w:numFmt w:val="bullet"/>
      <w:lvlText w:val="o"/>
      <w:lvlJc w:val="left"/>
      <w:pPr>
        <w:ind w:left="1221" w:hanging="360"/>
      </w:pPr>
      <w:rPr>
        <w:rFonts w:hint="default"/>
        <w:w w:val="99"/>
        <w:lang w:val="en-US" w:eastAsia="en-US" w:bidi="en-US"/>
      </w:rPr>
    </w:lvl>
    <w:lvl w:ilvl="2" w:tplc="36C0D340">
      <w:numFmt w:val="bullet"/>
      <w:lvlText w:val="•"/>
      <w:lvlJc w:val="left"/>
      <w:pPr>
        <w:ind w:left="1221" w:hanging="360"/>
      </w:pPr>
      <w:rPr>
        <w:rFonts w:hint="default"/>
        <w:lang w:val="en-US" w:eastAsia="en-US" w:bidi="en-US"/>
      </w:rPr>
    </w:lvl>
    <w:lvl w:ilvl="3" w:tplc="C42C7958">
      <w:numFmt w:val="bullet"/>
      <w:lvlText w:val="•"/>
      <w:lvlJc w:val="left"/>
      <w:pPr>
        <w:ind w:left="2283" w:hanging="360"/>
      </w:pPr>
      <w:rPr>
        <w:rFonts w:hint="default"/>
        <w:lang w:val="en-US" w:eastAsia="en-US" w:bidi="en-US"/>
      </w:rPr>
    </w:lvl>
    <w:lvl w:ilvl="4" w:tplc="B60A503C">
      <w:numFmt w:val="bullet"/>
      <w:lvlText w:val="•"/>
      <w:lvlJc w:val="left"/>
      <w:pPr>
        <w:ind w:left="3346" w:hanging="360"/>
      </w:pPr>
      <w:rPr>
        <w:rFonts w:hint="default"/>
        <w:lang w:val="en-US" w:eastAsia="en-US" w:bidi="en-US"/>
      </w:rPr>
    </w:lvl>
    <w:lvl w:ilvl="5" w:tplc="83025B8E">
      <w:numFmt w:val="bullet"/>
      <w:lvlText w:val="•"/>
      <w:lvlJc w:val="left"/>
      <w:pPr>
        <w:ind w:left="4408" w:hanging="360"/>
      </w:pPr>
      <w:rPr>
        <w:rFonts w:hint="default"/>
        <w:lang w:val="en-US" w:eastAsia="en-US" w:bidi="en-US"/>
      </w:rPr>
    </w:lvl>
    <w:lvl w:ilvl="6" w:tplc="C99AB43A">
      <w:numFmt w:val="bullet"/>
      <w:lvlText w:val="•"/>
      <w:lvlJc w:val="left"/>
      <w:pPr>
        <w:ind w:left="5471" w:hanging="360"/>
      </w:pPr>
      <w:rPr>
        <w:rFonts w:hint="default"/>
        <w:lang w:val="en-US" w:eastAsia="en-US" w:bidi="en-US"/>
      </w:rPr>
    </w:lvl>
    <w:lvl w:ilvl="7" w:tplc="84CE3520">
      <w:numFmt w:val="bullet"/>
      <w:lvlText w:val="•"/>
      <w:lvlJc w:val="left"/>
      <w:pPr>
        <w:ind w:left="6533" w:hanging="360"/>
      </w:pPr>
      <w:rPr>
        <w:rFonts w:hint="default"/>
        <w:lang w:val="en-US" w:eastAsia="en-US" w:bidi="en-US"/>
      </w:rPr>
    </w:lvl>
    <w:lvl w:ilvl="8" w:tplc="7888598A">
      <w:numFmt w:val="bullet"/>
      <w:lvlText w:val="•"/>
      <w:lvlJc w:val="left"/>
      <w:pPr>
        <w:ind w:left="7596" w:hanging="360"/>
      </w:pPr>
      <w:rPr>
        <w:rFonts w:hint="default"/>
        <w:lang w:val="en-US" w:eastAsia="en-US" w:bidi="en-US"/>
      </w:rPr>
    </w:lvl>
  </w:abstractNum>
  <w:abstractNum w:abstractNumId="4" w15:restartNumberingAfterBreak="0">
    <w:nsid w:val="2C933A81"/>
    <w:multiLevelType w:val="hybridMultilevel"/>
    <w:tmpl w:val="52C246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CEF0742"/>
    <w:multiLevelType w:val="hybridMultilevel"/>
    <w:tmpl w:val="26749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92B32"/>
    <w:multiLevelType w:val="hybridMultilevel"/>
    <w:tmpl w:val="9A9E2D52"/>
    <w:lvl w:ilvl="0" w:tplc="2886F984">
      <w:start w:val="1"/>
      <w:numFmt w:val="bullet"/>
      <w:lvlText w:val=""/>
      <w:lvlJc w:val="left"/>
      <w:pPr>
        <w:ind w:left="17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8122E6"/>
    <w:multiLevelType w:val="hybridMultilevel"/>
    <w:tmpl w:val="AB0ED118"/>
    <w:lvl w:ilvl="0" w:tplc="04090005">
      <w:start w:val="1"/>
      <w:numFmt w:val="bullet"/>
      <w:lvlText w:val=""/>
      <w:lvlJc w:val="left"/>
      <w:pPr>
        <w:ind w:left="501" w:hanging="361"/>
      </w:pPr>
      <w:rPr>
        <w:rFonts w:ascii="Wingdings" w:hAnsi="Wingdings" w:hint="default"/>
        <w:w w:val="100"/>
        <w:lang w:val="en-US" w:eastAsia="en-US" w:bidi="en-US"/>
      </w:rPr>
    </w:lvl>
    <w:lvl w:ilvl="1" w:tplc="30E65ED2">
      <w:numFmt w:val="bullet"/>
      <w:lvlText w:val="o"/>
      <w:lvlJc w:val="left"/>
      <w:pPr>
        <w:ind w:left="1221" w:hanging="360"/>
      </w:pPr>
      <w:rPr>
        <w:rFonts w:hint="default"/>
        <w:w w:val="99"/>
        <w:lang w:val="en-US" w:eastAsia="en-US" w:bidi="en-US"/>
      </w:rPr>
    </w:lvl>
    <w:lvl w:ilvl="2" w:tplc="36C0D340">
      <w:numFmt w:val="bullet"/>
      <w:lvlText w:val="•"/>
      <w:lvlJc w:val="left"/>
      <w:pPr>
        <w:ind w:left="1221" w:hanging="360"/>
      </w:pPr>
      <w:rPr>
        <w:rFonts w:hint="default"/>
        <w:lang w:val="en-US" w:eastAsia="en-US" w:bidi="en-US"/>
      </w:rPr>
    </w:lvl>
    <w:lvl w:ilvl="3" w:tplc="C42C7958">
      <w:numFmt w:val="bullet"/>
      <w:lvlText w:val="•"/>
      <w:lvlJc w:val="left"/>
      <w:pPr>
        <w:ind w:left="2283" w:hanging="360"/>
      </w:pPr>
      <w:rPr>
        <w:rFonts w:hint="default"/>
        <w:lang w:val="en-US" w:eastAsia="en-US" w:bidi="en-US"/>
      </w:rPr>
    </w:lvl>
    <w:lvl w:ilvl="4" w:tplc="B60A503C">
      <w:numFmt w:val="bullet"/>
      <w:lvlText w:val="•"/>
      <w:lvlJc w:val="left"/>
      <w:pPr>
        <w:ind w:left="3346" w:hanging="360"/>
      </w:pPr>
      <w:rPr>
        <w:rFonts w:hint="default"/>
        <w:lang w:val="en-US" w:eastAsia="en-US" w:bidi="en-US"/>
      </w:rPr>
    </w:lvl>
    <w:lvl w:ilvl="5" w:tplc="83025B8E">
      <w:numFmt w:val="bullet"/>
      <w:lvlText w:val="•"/>
      <w:lvlJc w:val="left"/>
      <w:pPr>
        <w:ind w:left="4408" w:hanging="360"/>
      </w:pPr>
      <w:rPr>
        <w:rFonts w:hint="default"/>
        <w:lang w:val="en-US" w:eastAsia="en-US" w:bidi="en-US"/>
      </w:rPr>
    </w:lvl>
    <w:lvl w:ilvl="6" w:tplc="C99AB43A">
      <w:numFmt w:val="bullet"/>
      <w:lvlText w:val="•"/>
      <w:lvlJc w:val="left"/>
      <w:pPr>
        <w:ind w:left="5471" w:hanging="360"/>
      </w:pPr>
      <w:rPr>
        <w:rFonts w:hint="default"/>
        <w:lang w:val="en-US" w:eastAsia="en-US" w:bidi="en-US"/>
      </w:rPr>
    </w:lvl>
    <w:lvl w:ilvl="7" w:tplc="84CE3520">
      <w:numFmt w:val="bullet"/>
      <w:lvlText w:val="•"/>
      <w:lvlJc w:val="left"/>
      <w:pPr>
        <w:ind w:left="6533" w:hanging="360"/>
      </w:pPr>
      <w:rPr>
        <w:rFonts w:hint="default"/>
        <w:lang w:val="en-US" w:eastAsia="en-US" w:bidi="en-US"/>
      </w:rPr>
    </w:lvl>
    <w:lvl w:ilvl="8" w:tplc="7888598A">
      <w:numFmt w:val="bullet"/>
      <w:lvlText w:val="•"/>
      <w:lvlJc w:val="left"/>
      <w:pPr>
        <w:ind w:left="7596" w:hanging="360"/>
      </w:pPr>
      <w:rPr>
        <w:rFonts w:hint="default"/>
        <w:lang w:val="en-US" w:eastAsia="en-US" w:bidi="en-US"/>
      </w:rPr>
    </w:lvl>
  </w:abstractNum>
  <w:abstractNum w:abstractNumId="8" w15:restartNumberingAfterBreak="0">
    <w:nsid w:val="311E13A1"/>
    <w:multiLevelType w:val="hybridMultilevel"/>
    <w:tmpl w:val="85AEC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3736C"/>
    <w:multiLevelType w:val="hybridMultilevel"/>
    <w:tmpl w:val="8B2E0886"/>
    <w:lvl w:ilvl="0" w:tplc="04090005">
      <w:start w:val="1"/>
      <w:numFmt w:val="bullet"/>
      <w:lvlText w:val=""/>
      <w:lvlJc w:val="left"/>
      <w:pPr>
        <w:ind w:left="501" w:hanging="361"/>
      </w:pPr>
      <w:rPr>
        <w:rFonts w:ascii="Wingdings" w:hAnsi="Wingdings" w:hint="default"/>
        <w:w w:val="100"/>
        <w:lang w:val="en-US" w:eastAsia="en-US" w:bidi="en-US"/>
      </w:rPr>
    </w:lvl>
    <w:lvl w:ilvl="1" w:tplc="30E65ED2">
      <w:numFmt w:val="bullet"/>
      <w:lvlText w:val="o"/>
      <w:lvlJc w:val="left"/>
      <w:pPr>
        <w:ind w:left="1221" w:hanging="360"/>
      </w:pPr>
      <w:rPr>
        <w:rFonts w:hint="default"/>
        <w:w w:val="99"/>
        <w:lang w:val="en-US" w:eastAsia="en-US" w:bidi="en-US"/>
      </w:rPr>
    </w:lvl>
    <w:lvl w:ilvl="2" w:tplc="36C0D340">
      <w:numFmt w:val="bullet"/>
      <w:lvlText w:val="•"/>
      <w:lvlJc w:val="left"/>
      <w:pPr>
        <w:ind w:left="1221" w:hanging="360"/>
      </w:pPr>
      <w:rPr>
        <w:rFonts w:hint="default"/>
        <w:lang w:val="en-US" w:eastAsia="en-US" w:bidi="en-US"/>
      </w:rPr>
    </w:lvl>
    <w:lvl w:ilvl="3" w:tplc="C42C7958">
      <w:numFmt w:val="bullet"/>
      <w:lvlText w:val="•"/>
      <w:lvlJc w:val="left"/>
      <w:pPr>
        <w:ind w:left="2283" w:hanging="360"/>
      </w:pPr>
      <w:rPr>
        <w:rFonts w:hint="default"/>
        <w:lang w:val="en-US" w:eastAsia="en-US" w:bidi="en-US"/>
      </w:rPr>
    </w:lvl>
    <w:lvl w:ilvl="4" w:tplc="B60A503C">
      <w:numFmt w:val="bullet"/>
      <w:lvlText w:val="•"/>
      <w:lvlJc w:val="left"/>
      <w:pPr>
        <w:ind w:left="3346" w:hanging="360"/>
      </w:pPr>
      <w:rPr>
        <w:rFonts w:hint="default"/>
        <w:lang w:val="en-US" w:eastAsia="en-US" w:bidi="en-US"/>
      </w:rPr>
    </w:lvl>
    <w:lvl w:ilvl="5" w:tplc="83025B8E">
      <w:numFmt w:val="bullet"/>
      <w:lvlText w:val="•"/>
      <w:lvlJc w:val="left"/>
      <w:pPr>
        <w:ind w:left="4408" w:hanging="360"/>
      </w:pPr>
      <w:rPr>
        <w:rFonts w:hint="default"/>
        <w:lang w:val="en-US" w:eastAsia="en-US" w:bidi="en-US"/>
      </w:rPr>
    </w:lvl>
    <w:lvl w:ilvl="6" w:tplc="C99AB43A">
      <w:numFmt w:val="bullet"/>
      <w:lvlText w:val="•"/>
      <w:lvlJc w:val="left"/>
      <w:pPr>
        <w:ind w:left="5471" w:hanging="360"/>
      </w:pPr>
      <w:rPr>
        <w:rFonts w:hint="default"/>
        <w:lang w:val="en-US" w:eastAsia="en-US" w:bidi="en-US"/>
      </w:rPr>
    </w:lvl>
    <w:lvl w:ilvl="7" w:tplc="84CE3520">
      <w:numFmt w:val="bullet"/>
      <w:lvlText w:val="•"/>
      <w:lvlJc w:val="left"/>
      <w:pPr>
        <w:ind w:left="6533" w:hanging="360"/>
      </w:pPr>
      <w:rPr>
        <w:rFonts w:hint="default"/>
        <w:lang w:val="en-US" w:eastAsia="en-US" w:bidi="en-US"/>
      </w:rPr>
    </w:lvl>
    <w:lvl w:ilvl="8" w:tplc="7888598A">
      <w:numFmt w:val="bullet"/>
      <w:lvlText w:val="•"/>
      <w:lvlJc w:val="left"/>
      <w:pPr>
        <w:ind w:left="7596" w:hanging="360"/>
      </w:pPr>
      <w:rPr>
        <w:rFonts w:hint="default"/>
        <w:lang w:val="en-US" w:eastAsia="en-US" w:bidi="en-US"/>
      </w:rPr>
    </w:lvl>
  </w:abstractNum>
  <w:abstractNum w:abstractNumId="10" w15:restartNumberingAfterBreak="0">
    <w:nsid w:val="39DB55A2"/>
    <w:multiLevelType w:val="hybridMultilevel"/>
    <w:tmpl w:val="D28E4A88"/>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11" w15:restartNumberingAfterBreak="0">
    <w:nsid w:val="3C3C7FFA"/>
    <w:multiLevelType w:val="hybridMultilevel"/>
    <w:tmpl w:val="EE6AEB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EAB610C"/>
    <w:multiLevelType w:val="hybridMultilevel"/>
    <w:tmpl w:val="9340A9D8"/>
    <w:lvl w:ilvl="0" w:tplc="04090005">
      <w:start w:val="1"/>
      <w:numFmt w:val="bullet"/>
      <w:lvlText w:val=""/>
      <w:lvlJc w:val="left"/>
      <w:pPr>
        <w:ind w:left="501" w:hanging="361"/>
      </w:pPr>
      <w:rPr>
        <w:rFonts w:ascii="Wingdings" w:hAnsi="Wingdings" w:hint="default"/>
        <w:w w:val="100"/>
        <w:lang w:val="en-US" w:eastAsia="en-US" w:bidi="en-US"/>
      </w:rPr>
    </w:lvl>
    <w:lvl w:ilvl="1" w:tplc="30E65ED2">
      <w:numFmt w:val="bullet"/>
      <w:lvlText w:val="o"/>
      <w:lvlJc w:val="left"/>
      <w:pPr>
        <w:ind w:left="1221" w:hanging="360"/>
      </w:pPr>
      <w:rPr>
        <w:rFonts w:hint="default"/>
        <w:w w:val="99"/>
        <w:lang w:val="en-US" w:eastAsia="en-US" w:bidi="en-US"/>
      </w:rPr>
    </w:lvl>
    <w:lvl w:ilvl="2" w:tplc="36C0D340">
      <w:numFmt w:val="bullet"/>
      <w:lvlText w:val="•"/>
      <w:lvlJc w:val="left"/>
      <w:pPr>
        <w:ind w:left="1221" w:hanging="360"/>
      </w:pPr>
      <w:rPr>
        <w:rFonts w:hint="default"/>
        <w:lang w:val="en-US" w:eastAsia="en-US" w:bidi="en-US"/>
      </w:rPr>
    </w:lvl>
    <w:lvl w:ilvl="3" w:tplc="C42C7958">
      <w:numFmt w:val="bullet"/>
      <w:lvlText w:val="•"/>
      <w:lvlJc w:val="left"/>
      <w:pPr>
        <w:ind w:left="2283" w:hanging="360"/>
      </w:pPr>
      <w:rPr>
        <w:rFonts w:hint="default"/>
        <w:lang w:val="en-US" w:eastAsia="en-US" w:bidi="en-US"/>
      </w:rPr>
    </w:lvl>
    <w:lvl w:ilvl="4" w:tplc="B60A503C">
      <w:numFmt w:val="bullet"/>
      <w:lvlText w:val="•"/>
      <w:lvlJc w:val="left"/>
      <w:pPr>
        <w:ind w:left="3346" w:hanging="360"/>
      </w:pPr>
      <w:rPr>
        <w:rFonts w:hint="default"/>
        <w:lang w:val="en-US" w:eastAsia="en-US" w:bidi="en-US"/>
      </w:rPr>
    </w:lvl>
    <w:lvl w:ilvl="5" w:tplc="83025B8E">
      <w:numFmt w:val="bullet"/>
      <w:lvlText w:val="•"/>
      <w:lvlJc w:val="left"/>
      <w:pPr>
        <w:ind w:left="4408" w:hanging="360"/>
      </w:pPr>
      <w:rPr>
        <w:rFonts w:hint="default"/>
        <w:lang w:val="en-US" w:eastAsia="en-US" w:bidi="en-US"/>
      </w:rPr>
    </w:lvl>
    <w:lvl w:ilvl="6" w:tplc="C99AB43A">
      <w:numFmt w:val="bullet"/>
      <w:lvlText w:val="•"/>
      <w:lvlJc w:val="left"/>
      <w:pPr>
        <w:ind w:left="5471" w:hanging="360"/>
      </w:pPr>
      <w:rPr>
        <w:rFonts w:hint="default"/>
        <w:lang w:val="en-US" w:eastAsia="en-US" w:bidi="en-US"/>
      </w:rPr>
    </w:lvl>
    <w:lvl w:ilvl="7" w:tplc="84CE3520">
      <w:numFmt w:val="bullet"/>
      <w:lvlText w:val="•"/>
      <w:lvlJc w:val="left"/>
      <w:pPr>
        <w:ind w:left="6533" w:hanging="360"/>
      </w:pPr>
      <w:rPr>
        <w:rFonts w:hint="default"/>
        <w:lang w:val="en-US" w:eastAsia="en-US" w:bidi="en-US"/>
      </w:rPr>
    </w:lvl>
    <w:lvl w:ilvl="8" w:tplc="7888598A">
      <w:numFmt w:val="bullet"/>
      <w:lvlText w:val="•"/>
      <w:lvlJc w:val="left"/>
      <w:pPr>
        <w:ind w:left="7596" w:hanging="360"/>
      </w:pPr>
      <w:rPr>
        <w:rFonts w:hint="default"/>
        <w:lang w:val="en-US" w:eastAsia="en-US" w:bidi="en-US"/>
      </w:rPr>
    </w:lvl>
  </w:abstractNum>
  <w:abstractNum w:abstractNumId="13" w15:restartNumberingAfterBreak="0">
    <w:nsid w:val="4BE71DF6"/>
    <w:multiLevelType w:val="hybridMultilevel"/>
    <w:tmpl w:val="4E6A9F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942609"/>
    <w:multiLevelType w:val="hybridMultilevel"/>
    <w:tmpl w:val="E2706A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6096D00"/>
    <w:multiLevelType w:val="hybridMultilevel"/>
    <w:tmpl w:val="D930BC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9A55C77"/>
    <w:multiLevelType w:val="hybridMultilevel"/>
    <w:tmpl w:val="16528A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08529BE"/>
    <w:multiLevelType w:val="hybridMultilevel"/>
    <w:tmpl w:val="D90A0898"/>
    <w:lvl w:ilvl="0" w:tplc="04090005">
      <w:start w:val="1"/>
      <w:numFmt w:val="bullet"/>
      <w:lvlText w:val=""/>
      <w:lvlJc w:val="left"/>
      <w:pPr>
        <w:ind w:left="501" w:hanging="361"/>
      </w:pPr>
      <w:rPr>
        <w:rFonts w:ascii="Wingdings" w:hAnsi="Wingdings" w:hint="default"/>
        <w:w w:val="100"/>
        <w:lang w:val="en-US" w:eastAsia="en-US" w:bidi="en-US"/>
      </w:rPr>
    </w:lvl>
    <w:lvl w:ilvl="1" w:tplc="30E65ED2">
      <w:numFmt w:val="bullet"/>
      <w:lvlText w:val="o"/>
      <w:lvlJc w:val="left"/>
      <w:pPr>
        <w:ind w:left="1221" w:hanging="360"/>
      </w:pPr>
      <w:rPr>
        <w:rFonts w:hint="default"/>
        <w:w w:val="99"/>
        <w:lang w:val="en-US" w:eastAsia="en-US" w:bidi="en-US"/>
      </w:rPr>
    </w:lvl>
    <w:lvl w:ilvl="2" w:tplc="36C0D340">
      <w:numFmt w:val="bullet"/>
      <w:lvlText w:val="•"/>
      <w:lvlJc w:val="left"/>
      <w:pPr>
        <w:ind w:left="1221" w:hanging="360"/>
      </w:pPr>
      <w:rPr>
        <w:rFonts w:hint="default"/>
        <w:lang w:val="en-US" w:eastAsia="en-US" w:bidi="en-US"/>
      </w:rPr>
    </w:lvl>
    <w:lvl w:ilvl="3" w:tplc="C42C7958">
      <w:numFmt w:val="bullet"/>
      <w:lvlText w:val="•"/>
      <w:lvlJc w:val="left"/>
      <w:pPr>
        <w:ind w:left="2283" w:hanging="360"/>
      </w:pPr>
      <w:rPr>
        <w:rFonts w:hint="default"/>
        <w:lang w:val="en-US" w:eastAsia="en-US" w:bidi="en-US"/>
      </w:rPr>
    </w:lvl>
    <w:lvl w:ilvl="4" w:tplc="B60A503C">
      <w:numFmt w:val="bullet"/>
      <w:lvlText w:val="•"/>
      <w:lvlJc w:val="left"/>
      <w:pPr>
        <w:ind w:left="3346" w:hanging="360"/>
      </w:pPr>
      <w:rPr>
        <w:rFonts w:hint="default"/>
        <w:lang w:val="en-US" w:eastAsia="en-US" w:bidi="en-US"/>
      </w:rPr>
    </w:lvl>
    <w:lvl w:ilvl="5" w:tplc="83025B8E">
      <w:numFmt w:val="bullet"/>
      <w:lvlText w:val="•"/>
      <w:lvlJc w:val="left"/>
      <w:pPr>
        <w:ind w:left="4408" w:hanging="360"/>
      </w:pPr>
      <w:rPr>
        <w:rFonts w:hint="default"/>
        <w:lang w:val="en-US" w:eastAsia="en-US" w:bidi="en-US"/>
      </w:rPr>
    </w:lvl>
    <w:lvl w:ilvl="6" w:tplc="C99AB43A">
      <w:numFmt w:val="bullet"/>
      <w:lvlText w:val="•"/>
      <w:lvlJc w:val="left"/>
      <w:pPr>
        <w:ind w:left="5471" w:hanging="360"/>
      </w:pPr>
      <w:rPr>
        <w:rFonts w:hint="default"/>
        <w:lang w:val="en-US" w:eastAsia="en-US" w:bidi="en-US"/>
      </w:rPr>
    </w:lvl>
    <w:lvl w:ilvl="7" w:tplc="84CE3520">
      <w:numFmt w:val="bullet"/>
      <w:lvlText w:val="•"/>
      <w:lvlJc w:val="left"/>
      <w:pPr>
        <w:ind w:left="6533" w:hanging="360"/>
      </w:pPr>
      <w:rPr>
        <w:rFonts w:hint="default"/>
        <w:lang w:val="en-US" w:eastAsia="en-US" w:bidi="en-US"/>
      </w:rPr>
    </w:lvl>
    <w:lvl w:ilvl="8" w:tplc="7888598A">
      <w:numFmt w:val="bullet"/>
      <w:lvlText w:val="•"/>
      <w:lvlJc w:val="left"/>
      <w:pPr>
        <w:ind w:left="7596" w:hanging="360"/>
      </w:pPr>
      <w:rPr>
        <w:rFonts w:hint="default"/>
        <w:lang w:val="en-US" w:eastAsia="en-US" w:bidi="en-US"/>
      </w:rPr>
    </w:lvl>
  </w:abstractNum>
  <w:abstractNum w:abstractNumId="18" w15:restartNumberingAfterBreak="0">
    <w:nsid w:val="64270460"/>
    <w:multiLevelType w:val="hybridMultilevel"/>
    <w:tmpl w:val="2D56CA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4654B39"/>
    <w:multiLevelType w:val="hybridMultilevel"/>
    <w:tmpl w:val="01E6336A"/>
    <w:lvl w:ilvl="0" w:tplc="2886F984">
      <w:start w:val="1"/>
      <w:numFmt w:val="bullet"/>
      <w:lvlText w:val=""/>
      <w:lvlJc w:val="left"/>
      <w:pPr>
        <w:ind w:left="17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8D7DE2"/>
    <w:multiLevelType w:val="hybridMultilevel"/>
    <w:tmpl w:val="231A1F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1191DC7"/>
    <w:multiLevelType w:val="hybridMultilevel"/>
    <w:tmpl w:val="34CC0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68A4DF4"/>
    <w:multiLevelType w:val="hybridMultilevel"/>
    <w:tmpl w:val="B9C0AA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C6040C1"/>
    <w:multiLevelType w:val="hybridMultilevel"/>
    <w:tmpl w:val="EEFA8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E51BC"/>
    <w:multiLevelType w:val="hybridMultilevel"/>
    <w:tmpl w:val="BB1230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12"/>
  </w:num>
  <w:num w:numId="4">
    <w:abstractNumId w:val="9"/>
  </w:num>
  <w:num w:numId="5">
    <w:abstractNumId w:val="3"/>
  </w:num>
  <w:num w:numId="6">
    <w:abstractNumId w:val="24"/>
  </w:num>
  <w:num w:numId="7">
    <w:abstractNumId w:val="13"/>
  </w:num>
  <w:num w:numId="8">
    <w:abstractNumId w:val="23"/>
  </w:num>
  <w:num w:numId="9">
    <w:abstractNumId w:val="8"/>
  </w:num>
  <w:num w:numId="10">
    <w:abstractNumId w:val="5"/>
  </w:num>
  <w:num w:numId="11">
    <w:abstractNumId w:val="15"/>
  </w:num>
  <w:num w:numId="12">
    <w:abstractNumId w:val="18"/>
  </w:num>
  <w:num w:numId="13">
    <w:abstractNumId w:val="11"/>
  </w:num>
  <w:num w:numId="14">
    <w:abstractNumId w:val="20"/>
  </w:num>
  <w:num w:numId="15">
    <w:abstractNumId w:val="14"/>
  </w:num>
  <w:num w:numId="16">
    <w:abstractNumId w:val="16"/>
  </w:num>
  <w:num w:numId="17">
    <w:abstractNumId w:val="21"/>
  </w:num>
  <w:num w:numId="18">
    <w:abstractNumId w:val="0"/>
  </w:num>
  <w:num w:numId="19">
    <w:abstractNumId w:val="22"/>
  </w:num>
  <w:num w:numId="20">
    <w:abstractNumId w:val="4"/>
  </w:num>
  <w:num w:numId="21">
    <w:abstractNumId w:val="19"/>
  </w:num>
  <w:num w:numId="22">
    <w:abstractNumId w:val="6"/>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5D"/>
    <w:rsid w:val="000527C8"/>
    <w:rsid w:val="000674AE"/>
    <w:rsid w:val="000B40D4"/>
    <w:rsid w:val="000C2CF4"/>
    <w:rsid w:val="000D322D"/>
    <w:rsid w:val="000F7143"/>
    <w:rsid w:val="001671C0"/>
    <w:rsid w:val="00173BF9"/>
    <w:rsid w:val="001C375D"/>
    <w:rsid w:val="001D764C"/>
    <w:rsid w:val="00200223"/>
    <w:rsid w:val="00207C14"/>
    <w:rsid w:val="002330E8"/>
    <w:rsid w:val="0023422A"/>
    <w:rsid w:val="00284917"/>
    <w:rsid w:val="002A00ED"/>
    <w:rsid w:val="00310185"/>
    <w:rsid w:val="00343FD5"/>
    <w:rsid w:val="0038182F"/>
    <w:rsid w:val="00384851"/>
    <w:rsid w:val="00387FB1"/>
    <w:rsid w:val="00396F1F"/>
    <w:rsid w:val="003A7A2F"/>
    <w:rsid w:val="003B716D"/>
    <w:rsid w:val="003F3A01"/>
    <w:rsid w:val="004A2CE7"/>
    <w:rsid w:val="00505BC0"/>
    <w:rsid w:val="0054419A"/>
    <w:rsid w:val="005D3004"/>
    <w:rsid w:val="005E6D39"/>
    <w:rsid w:val="00621FAC"/>
    <w:rsid w:val="00622307"/>
    <w:rsid w:val="00636135"/>
    <w:rsid w:val="006369FE"/>
    <w:rsid w:val="00677096"/>
    <w:rsid w:val="0068365F"/>
    <w:rsid w:val="006A2BC2"/>
    <w:rsid w:val="00715B18"/>
    <w:rsid w:val="007857FF"/>
    <w:rsid w:val="007964D6"/>
    <w:rsid w:val="007C740C"/>
    <w:rsid w:val="00800A55"/>
    <w:rsid w:val="0083706C"/>
    <w:rsid w:val="008A0624"/>
    <w:rsid w:val="008A63CF"/>
    <w:rsid w:val="008E5477"/>
    <w:rsid w:val="008F1053"/>
    <w:rsid w:val="008F28F8"/>
    <w:rsid w:val="00905908"/>
    <w:rsid w:val="0094160D"/>
    <w:rsid w:val="00943C82"/>
    <w:rsid w:val="00966E6C"/>
    <w:rsid w:val="009E0BAB"/>
    <w:rsid w:val="00A12FDC"/>
    <w:rsid w:val="00A27054"/>
    <w:rsid w:val="00A40EC4"/>
    <w:rsid w:val="00A74829"/>
    <w:rsid w:val="00A81165"/>
    <w:rsid w:val="00A85B8C"/>
    <w:rsid w:val="00A91A65"/>
    <w:rsid w:val="00AE1916"/>
    <w:rsid w:val="00BB7282"/>
    <w:rsid w:val="00BD4F97"/>
    <w:rsid w:val="00BE7497"/>
    <w:rsid w:val="00C03F8B"/>
    <w:rsid w:val="00C15AF3"/>
    <w:rsid w:val="00CD63E1"/>
    <w:rsid w:val="00D06D13"/>
    <w:rsid w:val="00D2325B"/>
    <w:rsid w:val="00D843CC"/>
    <w:rsid w:val="00D9492C"/>
    <w:rsid w:val="00DB2680"/>
    <w:rsid w:val="00DB5E22"/>
    <w:rsid w:val="00E14B28"/>
    <w:rsid w:val="00E30E51"/>
    <w:rsid w:val="00E359D6"/>
    <w:rsid w:val="00E42910"/>
    <w:rsid w:val="00E83565"/>
    <w:rsid w:val="00E86263"/>
    <w:rsid w:val="00EA1754"/>
    <w:rsid w:val="00EA6DA9"/>
    <w:rsid w:val="00EC4AA7"/>
    <w:rsid w:val="00F1490A"/>
    <w:rsid w:val="00F316E5"/>
    <w:rsid w:val="00F7630A"/>
    <w:rsid w:val="00F978F4"/>
    <w:rsid w:val="00FD030D"/>
    <w:rsid w:val="00FD0CBE"/>
    <w:rsid w:val="00FD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C120"/>
  <w15:docId w15:val="{72BD7A13-6FFC-4632-943A-65F3E0EC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2C"/>
    <w:rPr>
      <w:rFonts w:ascii="Arial" w:hAnsi="Arial"/>
    </w:rPr>
  </w:style>
  <w:style w:type="paragraph" w:styleId="Heading1">
    <w:name w:val="heading 1"/>
    <w:basedOn w:val="Normal"/>
    <w:next w:val="Normal"/>
    <w:link w:val="Heading1Char"/>
    <w:uiPriority w:val="9"/>
    <w:qFormat/>
    <w:rsid w:val="00D9492C"/>
    <w:pPr>
      <w:keepNext/>
      <w:keepLines/>
      <w:spacing w:before="360" w:after="0"/>
      <w:outlineLvl w:val="0"/>
    </w:pPr>
    <w:rPr>
      <w:rFonts w:eastAsiaTheme="majorEastAsia" w:cstheme="majorBidi"/>
      <w:b/>
      <w:bCs/>
      <w:color w:val="0070C0"/>
      <w:sz w:val="24"/>
      <w:szCs w:val="28"/>
    </w:rPr>
  </w:style>
  <w:style w:type="paragraph" w:styleId="Heading5">
    <w:name w:val="heading 5"/>
    <w:basedOn w:val="Normal"/>
    <w:next w:val="Normal"/>
    <w:link w:val="Heading5Char"/>
    <w:uiPriority w:val="9"/>
    <w:unhideWhenUsed/>
    <w:qFormat/>
    <w:rsid w:val="00D9492C"/>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492C"/>
    <w:pPr>
      <w:pBdr>
        <w:bottom w:val="single" w:sz="8" w:space="4" w:color="4F81BD" w:themeColor="accent1"/>
      </w:pBdr>
      <w:spacing w:after="300" w:line="240" w:lineRule="auto"/>
      <w:contextualSpacing/>
    </w:pPr>
    <w:rPr>
      <w:rFonts w:eastAsiaTheme="majorEastAsia" w:cstheme="majorBidi"/>
      <w:color w:val="B6BC64"/>
      <w:spacing w:val="5"/>
      <w:kern w:val="28"/>
      <w:sz w:val="44"/>
      <w:szCs w:val="52"/>
    </w:rPr>
  </w:style>
  <w:style w:type="character" w:customStyle="1" w:styleId="TitleChar">
    <w:name w:val="Title Char"/>
    <w:basedOn w:val="DefaultParagraphFont"/>
    <w:link w:val="Title"/>
    <w:uiPriority w:val="10"/>
    <w:rsid w:val="00D9492C"/>
    <w:rPr>
      <w:rFonts w:ascii="Arial" w:eastAsiaTheme="majorEastAsia" w:hAnsi="Arial" w:cstheme="majorBidi"/>
      <w:color w:val="B6BC64"/>
      <w:spacing w:val="5"/>
      <w:kern w:val="28"/>
      <w:sz w:val="44"/>
      <w:szCs w:val="52"/>
    </w:rPr>
  </w:style>
  <w:style w:type="paragraph" w:styleId="BalloonText">
    <w:name w:val="Balloon Text"/>
    <w:basedOn w:val="Normal"/>
    <w:link w:val="BalloonTextChar"/>
    <w:uiPriority w:val="99"/>
    <w:semiHidden/>
    <w:unhideWhenUsed/>
    <w:rsid w:val="0080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A55"/>
    <w:rPr>
      <w:rFonts w:ascii="Tahoma" w:hAnsi="Tahoma" w:cs="Tahoma"/>
      <w:sz w:val="16"/>
      <w:szCs w:val="16"/>
    </w:rPr>
  </w:style>
  <w:style w:type="paragraph" w:styleId="Header">
    <w:name w:val="header"/>
    <w:basedOn w:val="Normal"/>
    <w:link w:val="HeaderChar"/>
    <w:uiPriority w:val="99"/>
    <w:unhideWhenUsed/>
    <w:rsid w:val="00800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A55"/>
  </w:style>
  <w:style w:type="paragraph" w:styleId="Footer">
    <w:name w:val="footer"/>
    <w:basedOn w:val="Normal"/>
    <w:link w:val="FooterChar"/>
    <w:uiPriority w:val="99"/>
    <w:unhideWhenUsed/>
    <w:rsid w:val="0080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A55"/>
  </w:style>
  <w:style w:type="character" w:customStyle="1" w:styleId="Heading1Char">
    <w:name w:val="Heading 1 Char"/>
    <w:basedOn w:val="DefaultParagraphFont"/>
    <w:link w:val="Heading1"/>
    <w:uiPriority w:val="9"/>
    <w:rsid w:val="00D9492C"/>
    <w:rPr>
      <w:rFonts w:ascii="Arial" w:eastAsiaTheme="majorEastAsia" w:hAnsi="Arial" w:cstheme="majorBidi"/>
      <w:b/>
      <w:bCs/>
      <w:color w:val="0070C0"/>
      <w:sz w:val="24"/>
      <w:szCs w:val="28"/>
    </w:rPr>
  </w:style>
  <w:style w:type="character" w:customStyle="1" w:styleId="Heading5Char">
    <w:name w:val="Heading 5 Char"/>
    <w:basedOn w:val="DefaultParagraphFont"/>
    <w:link w:val="Heading5"/>
    <w:uiPriority w:val="9"/>
    <w:rsid w:val="00D9492C"/>
    <w:rPr>
      <w:rFonts w:ascii="Arial" w:eastAsiaTheme="majorEastAsia" w:hAnsi="Arial" w:cstheme="majorBidi"/>
      <w:color w:val="243F60" w:themeColor="accent1" w:themeShade="7F"/>
    </w:rPr>
  </w:style>
  <w:style w:type="paragraph" w:styleId="ListParagraph">
    <w:name w:val="List Paragraph"/>
    <w:basedOn w:val="Normal"/>
    <w:uiPriority w:val="34"/>
    <w:qFormat/>
    <w:rsid w:val="009E0BAB"/>
    <w:pPr>
      <w:widowControl w:val="0"/>
      <w:autoSpaceDE w:val="0"/>
      <w:autoSpaceDN w:val="0"/>
      <w:spacing w:after="0" w:line="240" w:lineRule="auto"/>
      <w:ind w:left="860" w:hanging="360"/>
    </w:pPr>
    <w:rPr>
      <w:rFonts w:eastAsia="Book Antiqua" w:cs="Book Antiqua"/>
      <w:lang w:bidi="en-US"/>
    </w:rPr>
  </w:style>
  <w:style w:type="table" w:styleId="TableGrid">
    <w:name w:val="Table Grid"/>
    <w:basedOn w:val="TableNormal"/>
    <w:uiPriority w:val="59"/>
    <w:rsid w:val="00E4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6D39"/>
    <w:pPr>
      <w:spacing w:after="0" w:line="240" w:lineRule="auto"/>
    </w:pPr>
    <w:rPr>
      <w:rFonts w:ascii="Consolas" w:hAnsi="Consolas"/>
      <w:sz w:val="21"/>
      <w:szCs w:val="21"/>
      <w:lang w:val="en-CA"/>
    </w:rPr>
  </w:style>
  <w:style w:type="character" w:customStyle="1" w:styleId="PlainTextChar">
    <w:name w:val="Plain Text Char"/>
    <w:basedOn w:val="DefaultParagraphFont"/>
    <w:link w:val="PlainText"/>
    <w:uiPriority w:val="99"/>
    <w:rsid w:val="005E6D39"/>
    <w:rPr>
      <w:rFonts w:ascii="Consolas" w:hAnsi="Consolas"/>
      <w:sz w:val="21"/>
      <w:szCs w:val="21"/>
      <w:lang w:val="en-CA"/>
    </w:rPr>
  </w:style>
  <w:style w:type="character" w:styleId="CommentReference">
    <w:name w:val="annotation reference"/>
    <w:basedOn w:val="DefaultParagraphFont"/>
    <w:uiPriority w:val="99"/>
    <w:semiHidden/>
    <w:unhideWhenUsed/>
    <w:rsid w:val="00A12FDC"/>
    <w:rPr>
      <w:sz w:val="16"/>
      <w:szCs w:val="16"/>
    </w:rPr>
  </w:style>
  <w:style w:type="paragraph" w:styleId="CommentText">
    <w:name w:val="annotation text"/>
    <w:basedOn w:val="Normal"/>
    <w:link w:val="CommentTextChar"/>
    <w:uiPriority w:val="99"/>
    <w:semiHidden/>
    <w:unhideWhenUsed/>
    <w:rsid w:val="00A12FDC"/>
    <w:pPr>
      <w:spacing w:line="240" w:lineRule="auto"/>
    </w:pPr>
    <w:rPr>
      <w:sz w:val="20"/>
      <w:szCs w:val="20"/>
    </w:rPr>
  </w:style>
  <w:style w:type="character" w:customStyle="1" w:styleId="CommentTextChar">
    <w:name w:val="Comment Text Char"/>
    <w:basedOn w:val="DefaultParagraphFont"/>
    <w:link w:val="CommentText"/>
    <w:uiPriority w:val="99"/>
    <w:semiHidden/>
    <w:rsid w:val="00A12F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12FDC"/>
    <w:rPr>
      <w:b/>
      <w:bCs/>
    </w:rPr>
  </w:style>
  <w:style w:type="character" w:customStyle="1" w:styleId="CommentSubjectChar">
    <w:name w:val="Comment Subject Char"/>
    <w:basedOn w:val="CommentTextChar"/>
    <w:link w:val="CommentSubject"/>
    <w:uiPriority w:val="99"/>
    <w:semiHidden/>
    <w:rsid w:val="00A12FDC"/>
    <w:rPr>
      <w:rFonts w:ascii="Arial" w:hAnsi="Arial"/>
      <w:b/>
      <w:bCs/>
      <w:sz w:val="20"/>
      <w:szCs w:val="20"/>
    </w:rPr>
  </w:style>
  <w:style w:type="character" w:styleId="Hyperlink">
    <w:name w:val="Hyperlink"/>
    <w:basedOn w:val="DefaultParagraphFont"/>
    <w:uiPriority w:val="99"/>
    <w:unhideWhenUsed/>
    <w:rsid w:val="003B7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doctors.org/fee-navigator/hsc/08.19G" TargetMode="External"/><Relationship Id="rId13" Type="http://schemas.openxmlformats.org/officeDocument/2006/relationships/hyperlink" Target="https://www.albertadoctors.org/fee-navigator/hsc/03.01S" TargetMode="External"/><Relationship Id="rId18" Type="http://schemas.openxmlformats.org/officeDocument/2006/relationships/hyperlink" Target="https://www.albertadoctors.org/fee-navigator/hsc/03.01N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albertadoctors.org/fee-navigator/hsc/03.05JR" TargetMode="External"/><Relationship Id="rId17" Type="http://schemas.openxmlformats.org/officeDocument/2006/relationships/hyperlink" Target="https://www.albertadoctors.org/fee-navigator/hsc/03.05JQ"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lbertadoctors.org/fee-navigator/hsc/03.05JC" TargetMode="External"/><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bertadoctors.org/fee-navigator/modifiers/CMPX%2FCMGP"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lbertadoctors.org/fee-navigator/hsc/03.05JH" TargetMode="External"/><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hyperlink" Target="https://www.albertadoctors.org/fee-navigator/hsc/03.03A" TargetMode="External"/><Relationship Id="rId19" Type="http://schemas.openxmlformats.org/officeDocument/2006/relationships/hyperlink" Target="mailto:billingadvice@albertadoctors.org" TargetMode="External"/><Relationship Id="rId4" Type="http://schemas.openxmlformats.org/officeDocument/2006/relationships/webSettings" Target="webSettings.xml"/><Relationship Id="rId9" Type="http://schemas.openxmlformats.org/officeDocument/2006/relationships/hyperlink" Target="https://www.albertadoctors.org/fee-navigator/hsc/03.02A" TargetMode="External"/><Relationship Id="rId14" Type="http://schemas.openxmlformats.org/officeDocument/2006/relationships/hyperlink" Target="https://www.albertadoctors.org/fee-navigator/hsc/03.01T"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s://www.alberta.ca/fees-health-professional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F430398B5524083B73FA190CB913D" ma:contentTypeVersion="12" ma:contentTypeDescription="Create a new document." ma:contentTypeScope="" ma:versionID="123a6565c6681ecf066facccb4e684fa">
  <xsd:schema xmlns:xsd="http://www.w3.org/2001/XMLSchema" xmlns:xs="http://www.w3.org/2001/XMLSchema" xmlns:p="http://schemas.microsoft.com/office/2006/metadata/properties" xmlns:ns2="9ea5e927-ddfc-41b6-b072-45f380958793" xmlns:ns3="10d51acc-b7c5-46d8-87c5-213025ec1958" targetNamespace="http://schemas.microsoft.com/office/2006/metadata/properties" ma:root="true" ma:fieldsID="565e04cfd6b78b6caaa67a32629f57be" ns2:_="" ns3:_="">
    <xsd:import namespace="9ea5e927-ddfc-41b6-b072-45f380958793"/>
    <xsd:import namespace="10d51acc-b7c5-46d8-87c5-213025ec1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5e927-ddfc-41b6-b072-45f380958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9cdb2b0-7700-4847-ab1b-b93d7df9272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51acc-b7c5-46d8-87c5-213025ec19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a7f2a07-97a7-4f8e-b87f-1cf77ac5a9bc}" ma:internalName="TaxCatchAll" ma:showField="CatchAllData" ma:web="10d51acc-b7c5-46d8-87c5-213025ec1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d51acc-b7c5-46d8-87c5-213025ec1958" xsi:nil="true"/>
    <lcf76f155ced4ddcb4097134ff3c332f xmlns="9ea5e927-ddfc-41b6-b072-45f3809587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1D9A37-BB84-4413-B22B-F33AB1D81356}"/>
</file>

<file path=customXml/itemProps2.xml><?xml version="1.0" encoding="utf-8"?>
<ds:datastoreItem xmlns:ds="http://schemas.openxmlformats.org/officeDocument/2006/customXml" ds:itemID="{66FCE9BA-9340-46BE-A0E0-6E2A5F809554}"/>
</file>

<file path=customXml/itemProps3.xml><?xml version="1.0" encoding="utf-8"?>
<ds:datastoreItem xmlns:ds="http://schemas.openxmlformats.org/officeDocument/2006/customXml" ds:itemID="{8AC8061B-250B-479C-8998-EA4E0FA568CE}"/>
</file>

<file path=docProps/app.xml><?xml version="1.0" encoding="utf-8"?>
<Properties xmlns="http://schemas.openxmlformats.org/officeDocument/2006/extended-properties" xmlns:vt="http://schemas.openxmlformats.org/officeDocument/2006/docPropsVTypes">
  <Template>Normal.dotm</Template>
  <TotalTime>1</TotalTime>
  <Pages>3</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Alberta Medical Association</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Altobelli</dc:creator>
  <cp:keywords/>
  <dc:description/>
  <cp:lastModifiedBy>Shannon Horricks</cp:lastModifiedBy>
  <cp:revision>3</cp:revision>
  <dcterms:created xsi:type="dcterms:W3CDTF">2019-03-02T17:58:00Z</dcterms:created>
  <dcterms:modified xsi:type="dcterms:W3CDTF">2019-06-06T22:53:00Z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deoSetEmbedCode">
    <vt:lpwstr/>
  </property>
  <property fmtid="{D5CDD505-2E9C-101B-9397-08002B2CF9AE}" pid="3" name="Order">
    <vt:r8>7300</vt:r8>
  </property>
  <property fmtid="{D5CDD505-2E9C-101B-9397-08002B2CF9AE}" pid="4" name="AlternateThumbnailUrl">
    <vt:lpwstr/>
  </property>
  <property fmtid="{D5CDD505-2E9C-101B-9397-08002B2CF9AE}" pid="5" name="PeopleInMedia">
    <vt:lpwstr/>
  </property>
  <property fmtid="{D5CDD505-2E9C-101B-9397-08002B2CF9AE}" pid="6" name="vti_imgdate">
    <vt:lpwstr/>
  </property>
  <property fmtid="{D5CDD505-2E9C-101B-9397-08002B2CF9AE}" pid="7" name="VideoRenditionLabel">
    <vt:lpwstr/>
  </property>
  <property fmtid="{D5CDD505-2E9C-101B-9397-08002B2CF9AE}" pid="8" name="VideoSetOwner">
    <vt:lpwstr/>
  </property>
  <property fmtid="{D5CDD505-2E9C-101B-9397-08002B2CF9AE}" pid="9" name="ContentTypeId">
    <vt:lpwstr>0x010100790F430398B5524083B73FA190CB913D</vt:lpwstr>
  </property>
  <property fmtid="{D5CDD505-2E9C-101B-9397-08002B2CF9AE}" pid="10" name="_SourceUrl">
    <vt:lpwstr/>
  </property>
  <property fmtid="{D5CDD505-2E9C-101B-9397-08002B2CF9AE}" pid="11" name="_SharedFileIndex">
    <vt:lpwstr/>
  </property>
  <property fmtid="{D5CDD505-2E9C-101B-9397-08002B2CF9AE}" pid="12" name="VideoSetDescription">
    <vt:lpwstr/>
  </property>
  <property fmtid="{D5CDD505-2E9C-101B-9397-08002B2CF9AE}" pid="13" name="VideoSetUserOverrideEncoding">
    <vt:lpwstr/>
  </property>
  <property fmtid="{D5CDD505-2E9C-101B-9397-08002B2CF9AE}" pid="14" name="VideoSetShowDownloadLink">
    <vt:bool>false</vt:bool>
  </property>
  <property fmtid="{D5CDD505-2E9C-101B-9397-08002B2CF9AE}" pid="15" name="VideoSetShowEmbedLink">
    <vt:bool>false</vt:bool>
  </property>
  <property fmtid="{D5CDD505-2E9C-101B-9397-08002B2CF9AE}" pid="16" name="VideoSetDefaultEncoding">
    <vt:lpwstr/>
  </property>
  <property fmtid="{D5CDD505-2E9C-101B-9397-08002B2CF9AE}" pid="17" name="NoCrawl">
    <vt:bool>false</vt:bool>
  </property>
  <property fmtid="{D5CDD505-2E9C-101B-9397-08002B2CF9AE}" pid="18" name="VideoSetExternalLink">
    <vt:lpwstr/>
  </property>
  <property fmtid="{D5CDD505-2E9C-101B-9397-08002B2CF9AE}" pid="19" name="VideoSetRenditionsInfo">
    <vt:lpwstr/>
  </property>
</Properties>
</file>